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009FC" w14:textId="42889A5E" w:rsidR="00EF3ABC" w:rsidRPr="00AC3CD2" w:rsidRDefault="00EF3ABC" w:rsidP="00EF3ABC">
      <w:pPr>
        <w:pStyle w:val="CRCoverPage"/>
        <w:tabs>
          <w:tab w:val="left" w:pos="1980"/>
        </w:tabs>
        <w:spacing w:line="259" w:lineRule="auto"/>
        <w:jc w:val="both"/>
        <w:rPr>
          <w:rFonts w:eastAsiaTheme="minorHAnsi" w:cs="Arial"/>
          <w:b/>
          <w:bCs/>
          <w:sz w:val="24"/>
          <w:szCs w:val="24"/>
          <w:lang w:val="en-US"/>
        </w:rPr>
      </w:pPr>
      <w:r w:rsidRPr="00AC3CD2">
        <w:rPr>
          <w:rFonts w:eastAsiaTheme="minorHAnsi" w:cs="Arial"/>
          <w:b/>
          <w:bCs/>
          <w:sz w:val="24"/>
          <w:szCs w:val="24"/>
          <w:lang w:val="en-US"/>
        </w:rPr>
        <w:t>3GPP TSG RAN WG2 #</w:t>
      </w:r>
      <w:r w:rsidR="00F4087D" w:rsidRPr="00AC3CD2">
        <w:rPr>
          <w:rFonts w:eastAsiaTheme="minorHAnsi" w:cs="Arial"/>
          <w:b/>
          <w:bCs/>
          <w:sz w:val="24"/>
          <w:szCs w:val="24"/>
          <w:lang w:val="en-US"/>
        </w:rPr>
        <w:t>1</w:t>
      </w:r>
      <w:r w:rsidR="00F4087D">
        <w:rPr>
          <w:rFonts w:eastAsiaTheme="minorHAnsi" w:cs="Arial"/>
          <w:b/>
          <w:bCs/>
          <w:sz w:val="24"/>
          <w:szCs w:val="24"/>
          <w:lang w:val="en-US"/>
        </w:rPr>
        <w:t>23</w:t>
      </w:r>
      <w:r w:rsidRPr="00AC3CD2">
        <w:rPr>
          <w:rFonts w:eastAsiaTheme="minorHAnsi" w:cs="Arial"/>
          <w:b/>
          <w:bCs/>
          <w:sz w:val="24"/>
          <w:szCs w:val="24"/>
          <w:lang w:val="en-US"/>
        </w:rPr>
        <w:tab/>
        <w:t xml:space="preserve">                                </w:t>
      </w:r>
      <w:r w:rsidR="00D67AD7" w:rsidRPr="00D67AD7">
        <w:rPr>
          <w:rFonts w:eastAsiaTheme="minorHAnsi" w:cs="Arial"/>
          <w:b/>
          <w:bCs/>
          <w:sz w:val="24"/>
          <w:szCs w:val="24"/>
          <w:lang w:val="en-US"/>
        </w:rPr>
        <w:t>R2-2308578</w:t>
      </w:r>
    </w:p>
    <w:p w14:paraId="177BFEC9" w14:textId="232A1D1A" w:rsidR="00EF3ABC" w:rsidRPr="00AC3CD2" w:rsidRDefault="00F4087D" w:rsidP="00EF3ABC">
      <w:pPr>
        <w:pStyle w:val="CRCoverPage"/>
        <w:tabs>
          <w:tab w:val="left" w:pos="1980"/>
        </w:tabs>
        <w:spacing w:line="259" w:lineRule="auto"/>
        <w:jc w:val="both"/>
        <w:rPr>
          <w:rFonts w:eastAsiaTheme="minorEastAsia" w:cs="Arial"/>
          <w:b/>
          <w:bCs/>
          <w:sz w:val="24"/>
          <w:szCs w:val="22"/>
          <w:lang w:val="en-US" w:eastAsia="ko-KR"/>
        </w:rPr>
      </w:pPr>
      <w:r>
        <w:rPr>
          <w:rFonts w:eastAsiaTheme="minorEastAsia" w:cs="Arial"/>
          <w:b/>
          <w:bCs/>
          <w:sz w:val="24"/>
          <w:szCs w:val="22"/>
          <w:lang w:val="en-US" w:eastAsia="ko-KR"/>
        </w:rPr>
        <w:t>Toulouse</w:t>
      </w:r>
      <w:r w:rsidR="00EF3ABC" w:rsidRPr="00AC3CD2">
        <w:rPr>
          <w:rFonts w:eastAsiaTheme="minorEastAsia" w:cs="Arial"/>
          <w:b/>
          <w:bCs/>
          <w:sz w:val="24"/>
          <w:szCs w:val="24"/>
          <w:lang w:val="en-US" w:eastAsia="ko-KR"/>
        </w:rPr>
        <w:t xml:space="preserve">, </w:t>
      </w:r>
      <w:r>
        <w:rPr>
          <w:rFonts w:eastAsiaTheme="minorEastAsia" w:cs="Arial"/>
          <w:b/>
          <w:bCs/>
          <w:sz w:val="24"/>
          <w:szCs w:val="24"/>
          <w:lang w:val="en-US" w:eastAsia="ko-KR"/>
        </w:rPr>
        <w:t>France</w:t>
      </w:r>
      <w:r w:rsidR="00EF3ABC">
        <w:rPr>
          <w:rFonts w:eastAsiaTheme="minorEastAsia" w:cs="Arial"/>
          <w:b/>
          <w:bCs/>
          <w:sz w:val="24"/>
          <w:szCs w:val="24"/>
          <w:lang w:val="en-US" w:eastAsia="ko-KR"/>
        </w:rPr>
        <w:t xml:space="preserve">, </w:t>
      </w:r>
      <w:r>
        <w:rPr>
          <w:rFonts w:eastAsiaTheme="minorEastAsia" w:cs="Arial"/>
          <w:b/>
          <w:bCs/>
          <w:sz w:val="24"/>
          <w:szCs w:val="24"/>
          <w:lang w:val="en-US" w:eastAsia="ko-KR"/>
        </w:rPr>
        <w:t>21</w:t>
      </w:r>
      <w:r w:rsidRPr="004900BE">
        <w:rPr>
          <w:rFonts w:eastAsiaTheme="minorEastAsia" w:cs="Arial"/>
          <w:b/>
          <w:bCs/>
          <w:sz w:val="24"/>
          <w:szCs w:val="24"/>
          <w:vertAlign w:val="superscript"/>
          <w:lang w:val="en-US" w:eastAsia="ko-KR"/>
        </w:rPr>
        <w:t>st</w:t>
      </w:r>
      <w:r>
        <w:rPr>
          <w:rFonts w:eastAsiaTheme="minorEastAsia" w:cs="Arial"/>
          <w:b/>
          <w:bCs/>
          <w:sz w:val="24"/>
          <w:szCs w:val="24"/>
          <w:lang w:val="en-US" w:eastAsia="ko-KR"/>
        </w:rPr>
        <w:t xml:space="preserve"> – 25</w:t>
      </w:r>
      <w:r w:rsidRPr="004900BE">
        <w:rPr>
          <w:rFonts w:eastAsiaTheme="minorEastAsia" w:cs="Arial"/>
          <w:b/>
          <w:bCs/>
          <w:sz w:val="24"/>
          <w:szCs w:val="24"/>
          <w:vertAlign w:val="superscript"/>
          <w:lang w:val="en-US" w:eastAsia="ko-KR"/>
        </w:rPr>
        <w:t>th</w:t>
      </w:r>
      <w:r>
        <w:rPr>
          <w:rFonts w:eastAsiaTheme="minorEastAsia" w:cs="Arial"/>
          <w:b/>
          <w:bCs/>
          <w:sz w:val="24"/>
          <w:szCs w:val="24"/>
          <w:lang w:val="en-US" w:eastAsia="ko-KR"/>
        </w:rPr>
        <w:t xml:space="preserve"> </w:t>
      </w:r>
      <w:proofErr w:type="gramStart"/>
      <w:r>
        <w:rPr>
          <w:rFonts w:eastAsiaTheme="minorEastAsia" w:cs="Arial"/>
          <w:b/>
          <w:bCs/>
          <w:sz w:val="24"/>
          <w:szCs w:val="24"/>
          <w:lang w:val="en-US" w:eastAsia="ko-KR"/>
        </w:rPr>
        <w:t>August</w:t>
      </w:r>
      <w:r w:rsidR="00EF3ABC" w:rsidRPr="00AC3CD2">
        <w:rPr>
          <w:rFonts w:eastAsiaTheme="minorEastAsia" w:cs="Arial"/>
          <w:b/>
          <w:bCs/>
          <w:sz w:val="24"/>
          <w:szCs w:val="24"/>
          <w:lang w:val="en-US" w:eastAsia="ko-KR"/>
        </w:rPr>
        <w:t>,</w:t>
      </w:r>
      <w:proofErr w:type="gramEnd"/>
      <w:r w:rsidR="00EF3ABC" w:rsidRPr="00AC3CD2">
        <w:rPr>
          <w:rFonts w:eastAsiaTheme="minorEastAsia" w:cs="Arial"/>
          <w:b/>
          <w:bCs/>
          <w:sz w:val="24"/>
          <w:szCs w:val="24"/>
          <w:lang w:val="en-US" w:eastAsia="ko-KR"/>
        </w:rPr>
        <w:t xml:space="preserve"> 202</w:t>
      </w:r>
      <w:r w:rsidR="00EF3ABC">
        <w:rPr>
          <w:rFonts w:eastAsiaTheme="minorEastAsia" w:cs="Arial"/>
          <w:b/>
          <w:bCs/>
          <w:sz w:val="24"/>
          <w:szCs w:val="24"/>
          <w:lang w:val="en-US" w:eastAsia="ko-KR"/>
        </w:rPr>
        <w:t>3</w:t>
      </w:r>
    </w:p>
    <w:p w14:paraId="6584FA6E" w14:textId="77777777" w:rsidR="00E06B61" w:rsidRPr="00AC3CD2" w:rsidRDefault="00E06B61" w:rsidP="00E06B61">
      <w:pPr>
        <w:pStyle w:val="CRCoverPage"/>
        <w:tabs>
          <w:tab w:val="left" w:pos="1980"/>
        </w:tabs>
        <w:spacing w:line="259" w:lineRule="auto"/>
        <w:jc w:val="both"/>
        <w:rPr>
          <w:rFonts w:cs="Arial"/>
          <w:b/>
          <w:bCs/>
          <w:sz w:val="24"/>
          <w:szCs w:val="24"/>
          <w:lang w:val="en-US"/>
        </w:rPr>
      </w:pPr>
    </w:p>
    <w:p w14:paraId="39883C2E" w14:textId="585BEA3B" w:rsidR="00E06B61" w:rsidRPr="00AC3CD2" w:rsidRDefault="00E06B61" w:rsidP="00E06B61">
      <w:pPr>
        <w:pStyle w:val="CRCoverPage"/>
        <w:tabs>
          <w:tab w:val="left" w:pos="1980"/>
        </w:tabs>
        <w:spacing w:line="259" w:lineRule="auto"/>
        <w:jc w:val="both"/>
        <w:rPr>
          <w:rFonts w:cs="Arial"/>
          <w:b/>
          <w:bCs/>
          <w:sz w:val="24"/>
          <w:szCs w:val="24"/>
          <w:lang w:val="en-US" w:eastAsia="ja-JP"/>
        </w:rPr>
      </w:pPr>
      <w:r w:rsidRPr="00AC3CD2">
        <w:rPr>
          <w:rFonts w:cs="Arial"/>
          <w:b/>
          <w:bCs/>
          <w:sz w:val="24"/>
          <w:szCs w:val="24"/>
          <w:lang w:val="en-US"/>
        </w:rPr>
        <w:t>Agenda Item:</w:t>
      </w:r>
      <w:r w:rsidRPr="00AC3CD2">
        <w:rPr>
          <w:rFonts w:cs="Arial"/>
          <w:b/>
          <w:bCs/>
          <w:sz w:val="24"/>
          <w:szCs w:val="24"/>
          <w:lang w:val="en-US"/>
        </w:rPr>
        <w:tab/>
      </w:r>
      <w:r w:rsidR="00B86363">
        <w:rPr>
          <w:rFonts w:cs="Arial"/>
          <w:b/>
          <w:bCs/>
          <w:sz w:val="24"/>
          <w:szCs w:val="24"/>
          <w:lang w:val="en-US"/>
        </w:rPr>
        <w:t>7</w:t>
      </w:r>
      <w:r w:rsidR="00387E49" w:rsidRPr="00AC3CD2">
        <w:rPr>
          <w:rFonts w:cs="Arial"/>
          <w:b/>
          <w:bCs/>
          <w:sz w:val="24"/>
          <w:szCs w:val="24"/>
          <w:lang w:val="en-US"/>
        </w:rPr>
        <w:t>.</w:t>
      </w:r>
      <w:r w:rsidR="00465087" w:rsidRPr="00AC3CD2">
        <w:rPr>
          <w:rFonts w:cs="Arial"/>
          <w:b/>
          <w:bCs/>
          <w:sz w:val="24"/>
          <w:szCs w:val="24"/>
          <w:lang w:val="en-US"/>
        </w:rPr>
        <w:t>6.</w:t>
      </w:r>
      <w:r w:rsidR="00FE1F7F" w:rsidRPr="00AC3CD2">
        <w:rPr>
          <w:rFonts w:cs="Arial"/>
          <w:b/>
          <w:bCs/>
          <w:sz w:val="24"/>
          <w:szCs w:val="24"/>
          <w:lang w:val="en-US"/>
        </w:rPr>
        <w:t>3</w:t>
      </w:r>
      <w:r w:rsidR="00C25F9C">
        <w:rPr>
          <w:rFonts w:cs="Arial"/>
          <w:b/>
          <w:bCs/>
          <w:sz w:val="24"/>
          <w:szCs w:val="24"/>
          <w:lang w:val="en-US"/>
        </w:rPr>
        <w:t>.1</w:t>
      </w:r>
    </w:p>
    <w:p w14:paraId="3A7991F8" w14:textId="77777777" w:rsidR="00E06B61" w:rsidRPr="00AC3CD2" w:rsidRDefault="00E06B61" w:rsidP="00E06B61">
      <w:pPr>
        <w:tabs>
          <w:tab w:val="left" w:pos="1985"/>
        </w:tabs>
        <w:rPr>
          <w:rFonts w:ascii="Arial" w:hAnsi="Arial" w:cs="Arial"/>
          <w:bCs/>
          <w:sz w:val="24"/>
          <w:szCs w:val="24"/>
        </w:rPr>
      </w:pPr>
      <w:r w:rsidRPr="00AC3CD2">
        <w:rPr>
          <w:rFonts w:ascii="Arial" w:hAnsi="Arial" w:cs="Arial"/>
          <w:b/>
          <w:bCs/>
          <w:sz w:val="24"/>
          <w:szCs w:val="24"/>
        </w:rPr>
        <w:t>Source:</w:t>
      </w:r>
      <w:r w:rsidRPr="00AC3CD2">
        <w:rPr>
          <w:rFonts w:ascii="Arial" w:hAnsi="Arial" w:cs="Arial"/>
          <w:b/>
          <w:bCs/>
          <w:sz w:val="24"/>
          <w:szCs w:val="24"/>
        </w:rPr>
        <w:tab/>
        <w:t>InterDigital, Inc.</w:t>
      </w:r>
    </w:p>
    <w:p w14:paraId="64E1A817" w14:textId="13F7420B" w:rsidR="00E06B61" w:rsidRPr="00AC3CD2" w:rsidRDefault="00E06B61" w:rsidP="00E06B61">
      <w:pPr>
        <w:ind w:left="1985" w:hanging="1985"/>
        <w:rPr>
          <w:rFonts w:ascii="Arial" w:hAnsi="Arial" w:cs="Arial"/>
          <w:b/>
          <w:bCs/>
          <w:sz w:val="24"/>
          <w:szCs w:val="24"/>
        </w:rPr>
      </w:pPr>
      <w:r w:rsidRPr="00AC3CD2">
        <w:rPr>
          <w:rFonts w:ascii="Arial" w:hAnsi="Arial" w:cs="Arial"/>
          <w:b/>
          <w:bCs/>
          <w:sz w:val="24"/>
          <w:szCs w:val="24"/>
        </w:rPr>
        <w:t>Title:</w:t>
      </w:r>
      <w:r w:rsidRPr="00AC3CD2">
        <w:rPr>
          <w:rFonts w:ascii="Arial" w:hAnsi="Arial" w:cs="Arial"/>
          <w:b/>
          <w:bCs/>
          <w:sz w:val="24"/>
          <w:szCs w:val="24"/>
        </w:rPr>
        <w:tab/>
      </w:r>
      <w:r w:rsidR="00614192">
        <w:rPr>
          <w:rFonts w:ascii="Arial" w:hAnsi="Arial" w:cs="Arial"/>
          <w:b/>
          <w:bCs/>
          <w:sz w:val="24"/>
          <w:szCs w:val="24"/>
        </w:rPr>
        <w:t>Open issues on mobility</w:t>
      </w:r>
      <w:r w:rsidR="00BE2156">
        <w:rPr>
          <w:rFonts w:ascii="Arial" w:hAnsi="Arial" w:cs="Arial"/>
          <w:b/>
          <w:bCs/>
          <w:sz w:val="24"/>
          <w:szCs w:val="24"/>
        </w:rPr>
        <w:t xml:space="preserve"> enhancements</w:t>
      </w:r>
      <w:r w:rsidR="00614192">
        <w:rPr>
          <w:rFonts w:ascii="Arial" w:hAnsi="Arial" w:cs="Arial"/>
          <w:b/>
          <w:bCs/>
          <w:sz w:val="24"/>
          <w:szCs w:val="24"/>
        </w:rPr>
        <w:t xml:space="preserve"> </w:t>
      </w:r>
      <w:r w:rsidR="001152DB">
        <w:rPr>
          <w:rFonts w:ascii="Arial" w:hAnsi="Arial" w:cs="Arial"/>
          <w:b/>
          <w:bCs/>
          <w:sz w:val="24"/>
          <w:szCs w:val="24"/>
        </w:rPr>
        <w:t>(</w:t>
      </w:r>
      <w:r w:rsidR="00614192">
        <w:rPr>
          <w:rFonts w:ascii="Arial" w:hAnsi="Arial" w:cs="Arial"/>
          <w:b/>
          <w:bCs/>
          <w:sz w:val="24"/>
          <w:szCs w:val="24"/>
        </w:rPr>
        <w:t xml:space="preserve">not covered by </w:t>
      </w:r>
      <w:r w:rsidR="00614192" w:rsidRPr="00614192">
        <w:rPr>
          <w:rFonts w:ascii="Arial" w:hAnsi="Arial" w:cs="Arial"/>
          <w:b/>
          <w:bCs/>
          <w:sz w:val="24"/>
          <w:szCs w:val="24"/>
        </w:rPr>
        <w:t>[Post122][112]</w:t>
      </w:r>
      <w:r w:rsidR="001152DB">
        <w:rPr>
          <w:rFonts w:ascii="Arial" w:hAnsi="Arial" w:cs="Arial"/>
          <w:b/>
          <w:bCs/>
          <w:sz w:val="24"/>
          <w:szCs w:val="24"/>
        </w:rPr>
        <w:t>)</w:t>
      </w:r>
      <w:r w:rsidR="004D2E3F" w:rsidRPr="00AC3CD2">
        <w:rPr>
          <w:rFonts w:ascii="Arial" w:hAnsi="Arial" w:cs="Arial"/>
          <w:b/>
          <w:bCs/>
          <w:sz w:val="24"/>
          <w:szCs w:val="24"/>
        </w:rPr>
        <w:t>.</w:t>
      </w:r>
    </w:p>
    <w:p w14:paraId="3FFA61C2" w14:textId="77777777" w:rsidR="00E06B61" w:rsidRPr="00AC3CD2" w:rsidRDefault="00E06B61" w:rsidP="00E06B61">
      <w:pPr>
        <w:ind w:left="1985" w:hanging="1985"/>
        <w:rPr>
          <w:rFonts w:ascii="Arial" w:hAnsi="Arial" w:cs="Arial"/>
          <w:b/>
          <w:bCs/>
          <w:sz w:val="24"/>
          <w:szCs w:val="24"/>
        </w:rPr>
      </w:pPr>
      <w:r w:rsidRPr="00AC3CD2">
        <w:rPr>
          <w:rFonts w:ascii="Arial" w:hAnsi="Arial" w:cs="Arial"/>
          <w:b/>
          <w:bCs/>
          <w:sz w:val="24"/>
          <w:szCs w:val="24"/>
        </w:rPr>
        <w:t>Document for:</w:t>
      </w:r>
      <w:r w:rsidRPr="00AC3CD2">
        <w:rPr>
          <w:rFonts w:ascii="Arial" w:hAnsi="Arial" w:cs="Arial"/>
          <w:b/>
          <w:bCs/>
          <w:sz w:val="24"/>
          <w:szCs w:val="24"/>
        </w:rPr>
        <w:tab/>
        <w:t>Discussion</w:t>
      </w:r>
    </w:p>
    <w:p w14:paraId="03851C6F" w14:textId="7A016DF2" w:rsidR="00E06B61" w:rsidRPr="00AC3CD2" w:rsidRDefault="00E06B61" w:rsidP="00E06B61">
      <w:pPr>
        <w:pStyle w:val="Heading1"/>
        <w:numPr>
          <w:ilvl w:val="0"/>
          <w:numId w:val="13"/>
        </w:numPr>
        <w:pBdr>
          <w:top w:val="single" w:sz="12" w:space="5" w:color="auto"/>
        </w:pBdr>
        <w:tabs>
          <w:tab w:val="clear" w:pos="720"/>
          <w:tab w:val="num" w:pos="360"/>
          <w:tab w:val="left" w:pos="426"/>
        </w:tabs>
        <w:ind w:hanging="720"/>
        <w:rPr>
          <w:rFonts w:ascii="Arial" w:hAnsi="Arial" w:cs="Arial"/>
        </w:rPr>
      </w:pPr>
      <w:r w:rsidRPr="00AC3CD2">
        <w:rPr>
          <w:rFonts w:ascii="Arial" w:hAnsi="Arial" w:cs="Arial"/>
        </w:rPr>
        <w:t>Introduction</w:t>
      </w:r>
    </w:p>
    <w:p w14:paraId="36477409" w14:textId="4F36DFA7" w:rsidR="00091528" w:rsidRPr="00AC3CD2" w:rsidRDefault="00D80ED7" w:rsidP="00E06B61">
      <w:pPr>
        <w:jc w:val="both"/>
        <w:rPr>
          <w:rFonts w:ascii="Arial" w:hAnsi="Arial" w:cs="Arial"/>
          <w:lang w:val="en-US"/>
        </w:rPr>
      </w:pPr>
      <w:r w:rsidRPr="00AC3CD2">
        <w:rPr>
          <w:rFonts w:ascii="Arial" w:hAnsi="Arial" w:cs="Arial"/>
          <w:lang w:val="en-US"/>
        </w:rPr>
        <w:t xml:space="preserve">The WI on </w:t>
      </w:r>
      <w:r w:rsidR="003D5E8E" w:rsidRPr="00AC3CD2">
        <w:rPr>
          <w:rFonts w:ascii="Arial" w:hAnsi="Arial" w:cs="Arial"/>
          <w:lang w:val="en-US"/>
        </w:rPr>
        <w:t xml:space="preserve">IoT NTN enhancements </w:t>
      </w:r>
      <w:r w:rsidR="005A63F0" w:rsidRPr="00AC3CD2">
        <w:rPr>
          <w:rFonts w:ascii="Arial" w:hAnsi="Arial" w:cs="Arial"/>
          <w:lang w:val="en-US"/>
        </w:rPr>
        <w:fldChar w:fldCharType="begin"/>
      </w:r>
      <w:r w:rsidR="005A63F0" w:rsidRPr="00AC3CD2">
        <w:rPr>
          <w:rFonts w:ascii="Arial" w:hAnsi="Arial" w:cs="Arial"/>
          <w:lang w:val="en-US"/>
        </w:rPr>
        <w:instrText xml:space="preserve"> REF _Ref110867306 \r \h </w:instrText>
      </w:r>
      <w:r w:rsidR="00AC3CD2">
        <w:rPr>
          <w:rFonts w:ascii="Arial" w:hAnsi="Arial" w:cs="Arial"/>
          <w:lang w:val="en-US"/>
        </w:rPr>
        <w:instrText xml:space="preserve"> \* MERGEFORMAT </w:instrText>
      </w:r>
      <w:r w:rsidR="005A63F0" w:rsidRPr="00AC3CD2">
        <w:rPr>
          <w:rFonts w:ascii="Arial" w:hAnsi="Arial" w:cs="Arial"/>
          <w:lang w:val="en-US"/>
        </w:rPr>
      </w:r>
      <w:r w:rsidR="005A63F0" w:rsidRPr="00AC3CD2">
        <w:rPr>
          <w:rFonts w:ascii="Arial" w:hAnsi="Arial" w:cs="Arial"/>
          <w:lang w:val="en-US"/>
        </w:rPr>
        <w:fldChar w:fldCharType="separate"/>
      </w:r>
      <w:r w:rsidR="005A63F0" w:rsidRPr="00AC3CD2">
        <w:rPr>
          <w:rFonts w:ascii="Arial" w:hAnsi="Arial" w:cs="Arial"/>
          <w:lang w:val="en-US"/>
        </w:rPr>
        <w:t>[1]</w:t>
      </w:r>
      <w:r w:rsidR="005A63F0" w:rsidRPr="00AC3CD2">
        <w:rPr>
          <w:rFonts w:ascii="Arial" w:hAnsi="Arial" w:cs="Arial"/>
          <w:lang w:val="en-US"/>
        </w:rPr>
        <w:fldChar w:fldCharType="end"/>
      </w:r>
      <w:r w:rsidRPr="00AC3CD2">
        <w:rPr>
          <w:rFonts w:ascii="Arial" w:hAnsi="Arial" w:cs="Arial"/>
          <w:lang w:val="en-US"/>
        </w:rPr>
        <w:t xml:space="preserve"> includes the</w:t>
      </w:r>
      <w:r w:rsidR="005A63F0" w:rsidRPr="00AC3CD2">
        <w:rPr>
          <w:rFonts w:ascii="Arial" w:hAnsi="Arial" w:cs="Arial"/>
          <w:lang w:val="en-US"/>
        </w:rPr>
        <w:t xml:space="preserve"> </w:t>
      </w:r>
      <w:r w:rsidRPr="00AC3CD2">
        <w:rPr>
          <w:rFonts w:ascii="Arial" w:hAnsi="Arial" w:cs="Arial"/>
          <w:lang w:val="en-US"/>
        </w:rPr>
        <w:t xml:space="preserve">following objectives for </w:t>
      </w:r>
      <w:r w:rsidR="00FE1F7F" w:rsidRPr="00AC3CD2">
        <w:rPr>
          <w:rFonts w:ascii="Arial" w:hAnsi="Arial" w:cs="Arial"/>
          <w:lang w:val="en-US"/>
        </w:rPr>
        <w:t>mobility</w:t>
      </w:r>
      <w:r w:rsidR="003D5E8E" w:rsidRPr="00AC3CD2">
        <w:rPr>
          <w:rFonts w:ascii="Arial" w:hAnsi="Arial" w:cs="Arial"/>
          <w:lang w:val="en-US"/>
        </w:rPr>
        <w:t xml:space="preserve"> enhancement</w:t>
      </w:r>
      <w:r w:rsidR="005A63F0" w:rsidRPr="00AC3CD2">
        <w:rPr>
          <w:rFonts w:ascii="Arial" w:hAnsi="Arial" w:cs="Arial"/>
          <w:lang w:val="en-US"/>
        </w:rPr>
        <w:t>:</w:t>
      </w:r>
      <w:r w:rsidRPr="00AC3CD2">
        <w:rPr>
          <w:rFonts w:ascii="Arial" w:hAnsi="Arial" w:cs="Arial"/>
          <w:lang w:val="en-US"/>
        </w:rPr>
        <w:t xml:space="preserve"> </w:t>
      </w:r>
    </w:p>
    <w:p w14:paraId="67F4B437" w14:textId="44C72437" w:rsidR="00D80ED7" w:rsidRPr="00AC3CD2" w:rsidRDefault="00D80ED7" w:rsidP="00E06B61">
      <w:pPr>
        <w:jc w:val="both"/>
        <w:rPr>
          <w:rFonts w:ascii="Arial" w:hAnsi="Arial" w:cs="Arial"/>
          <w:lang w:val="en-US"/>
        </w:rPr>
      </w:pPr>
    </w:p>
    <w:tbl>
      <w:tblPr>
        <w:tblStyle w:val="TableGrid"/>
        <w:tblW w:w="0" w:type="auto"/>
        <w:tblLook w:val="04A0" w:firstRow="1" w:lastRow="0" w:firstColumn="1" w:lastColumn="0" w:noHBand="0" w:noVBand="1"/>
      </w:tblPr>
      <w:tblGrid>
        <w:gridCol w:w="9629"/>
      </w:tblGrid>
      <w:tr w:rsidR="00B64ACB" w:rsidRPr="00AC3CD2" w14:paraId="7EB198DC" w14:textId="77777777" w:rsidTr="005924EE">
        <w:tc>
          <w:tcPr>
            <w:tcW w:w="9629" w:type="dxa"/>
          </w:tcPr>
          <w:p w14:paraId="620D29C4" w14:textId="77777777" w:rsidR="005924EE" w:rsidRPr="00756D29" w:rsidRDefault="005924EE" w:rsidP="005924EE">
            <w:r w:rsidRPr="00756D29">
              <w:t>The following mobility enhancements objectives are listed.</w:t>
            </w:r>
          </w:p>
          <w:p w14:paraId="2E082B3B" w14:textId="77777777" w:rsidR="005924EE" w:rsidRDefault="005924EE" w:rsidP="005924EE">
            <w:pPr>
              <w:pStyle w:val="B1"/>
            </w:pPr>
            <w:r>
              <w:t>-</w:t>
            </w:r>
            <w:r>
              <w:tab/>
            </w:r>
            <w:r w:rsidRPr="00756D29">
              <w:t>Support of neighbo</w:t>
            </w:r>
            <w:r>
              <w:t>u</w:t>
            </w:r>
            <w:r w:rsidRPr="00756D29">
              <w:t xml:space="preserve">r cell measurements and corresponding </w:t>
            </w:r>
            <w:proofErr w:type="gramStart"/>
            <w:r w:rsidRPr="00756D29">
              <w:t>measurement</w:t>
            </w:r>
            <w:proofErr w:type="gramEnd"/>
            <w:r w:rsidRPr="00756D29">
              <w:t xml:space="preserve"> triggering before RLF, using Rel</w:t>
            </w:r>
            <w:r w:rsidRPr="00756D29">
              <w:noBreakHyphen/>
              <w:t xml:space="preserve">17 (TN) NB-IoT, </w:t>
            </w:r>
            <w:proofErr w:type="spellStart"/>
            <w:r w:rsidRPr="00756D29">
              <w:t>eMTC</w:t>
            </w:r>
            <w:proofErr w:type="spellEnd"/>
            <w:r w:rsidRPr="00756D29">
              <w:t xml:space="preserve"> as a baseline. [RAN2]</w:t>
            </w:r>
          </w:p>
          <w:p w14:paraId="0A6F46E9" w14:textId="77777777" w:rsidR="005924EE" w:rsidRPr="00756D29" w:rsidRDefault="005924EE" w:rsidP="005924EE">
            <w:pPr>
              <w:pStyle w:val="B1"/>
            </w:pPr>
            <w:r>
              <w:t>-</w:t>
            </w:r>
            <w:r>
              <w:tab/>
              <w:t xml:space="preserve">Support signalling in system information of neighbour cell ephemeris, for </w:t>
            </w:r>
            <w:proofErr w:type="spellStart"/>
            <w:r>
              <w:t>eMTC</w:t>
            </w:r>
            <w:proofErr w:type="spellEnd"/>
            <w:r>
              <w:t xml:space="preserve"> and NB-IoT [RAN2]</w:t>
            </w:r>
          </w:p>
          <w:p w14:paraId="6A000F44" w14:textId="77777777" w:rsidR="005924EE" w:rsidRDefault="005924EE" w:rsidP="005924EE">
            <w:pPr>
              <w:pStyle w:val="B1"/>
            </w:pPr>
            <w:r>
              <w:t>-</w:t>
            </w:r>
            <w:r>
              <w:tab/>
            </w:r>
            <w:r w:rsidRPr="00756D29">
              <w:t xml:space="preserve">Re-use the solutions introduced in Rel-17 NR NTN for mobility enhancements for </w:t>
            </w:r>
            <w:proofErr w:type="spellStart"/>
            <w:r w:rsidRPr="00756D29">
              <w:t>eMTC</w:t>
            </w:r>
            <w:proofErr w:type="spellEnd"/>
            <w:r w:rsidRPr="00756D29">
              <w:t xml:space="preserve">, with minimum necessary changes to adapt them to </w:t>
            </w:r>
            <w:proofErr w:type="spellStart"/>
            <w:r w:rsidRPr="00756D29">
              <w:t>eMTC</w:t>
            </w:r>
            <w:proofErr w:type="spellEnd"/>
            <w:r w:rsidRPr="00756D29">
              <w:t xml:space="preserve"> [RAN2]</w:t>
            </w:r>
          </w:p>
          <w:p w14:paraId="1F568D81" w14:textId="77777777" w:rsidR="005924EE" w:rsidRPr="00756D29" w:rsidRDefault="005924EE" w:rsidP="005924EE">
            <w:pPr>
              <w:pStyle w:val="B1"/>
              <w:numPr>
                <w:ilvl w:val="0"/>
                <w:numId w:val="29"/>
              </w:numPr>
              <w:overflowPunct w:val="0"/>
              <w:autoSpaceDE w:val="0"/>
              <w:autoSpaceDN w:val="0"/>
              <w:adjustRightInd w:val="0"/>
              <w:ind w:left="567" w:hanging="283"/>
              <w:textAlignment w:val="baseline"/>
            </w:pPr>
            <w:r>
              <w:t>Define UE RRM core requirements for the above mobility enhancement features [RAN4].</w:t>
            </w:r>
          </w:p>
          <w:p w14:paraId="6215F053" w14:textId="4A92C01F" w:rsidR="00B64ACB" w:rsidRPr="00AC3CD2" w:rsidRDefault="00B64ACB" w:rsidP="00C17C32">
            <w:pPr>
              <w:pStyle w:val="B1"/>
              <w:rPr>
                <w:rFonts w:ascii="Arial" w:hAnsi="Arial" w:cs="Arial"/>
              </w:rPr>
            </w:pPr>
          </w:p>
        </w:tc>
      </w:tr>
    </w:tbl>
    <w:p w14:paraId="2D54A12C" w14:textId="77777777" w:rsidR="00F4087D" w:rsidRDefault="00F4087D" w:rsidP="00B474EC">
      <w:pPr>
        <w:rPr>
          <w:rFonts w:ascii="Arial" w:hAnsi="Arial" w:cs="Arial"/>
        </w:rPr>
      </w:pPr>
    </w:p>
    <w:p w14:paraId="6C29FF29" w14:textId="60612F57" w:rsidR="00F4087D" w:rsidRPr="00AC3CD2" w:rsidRDefault="00F4087D" w:rsidP="00B474EC">
      <w:pPr>
        <w:rPr>
          <w:rFonts w:ascii="Arial" w:hAnsi="Arial" w:cs="Arial"/>
        </w:rPr>
      </w:pPr>
      <w:r>
        <w:rPr>
          <w:rFonts w:ascii="Arial" w:hAnsi="Arial" w:cs="Arial"/>
        </w:rPr>
        <w:t xml:space="preserve">In RAN2#122 the following agreements were made </w:t>
      </w:r>
      <w:r>
        <w:rPr>
          <w:rFonts w:ascii="Arial" w:hAnsi="Arial" w:cs="Arial"/>
        </w:rPr>
        <w:fldChar w:fldCharType="begin"/>
      </w:r>
      <w:r>
        <w:rPr>
          <w:rFonts w:ascii="Arial" w:hAnsi="Arial" w:cs="Arial"/>
        </w:rPr>
        <w:instrText xml:space="preserve"> REF _Ref142395439 \r \h </w:instrText>
      </w:r>
      <w:r>
        <w:rPr>
          <w:rFonts w:ascii="Arial" w:hAnsi="Arial" w:cs="Arial"/>
        </w:rPr>
      </w:r>
      <w:r>
        <w:rPr>
          <w:rFonts w:ascii="Arial" w:hAnsi="Arial" w:cs="Arial"/>
        </w:rPr>
        <w:fldChar w:fldCharType="separate"/>
      </w:r>
      <w:r>
        <w:rPr>
          <w:rFonts w:ascii="Arial" w:hAnsi="Arial" w:cs="Arial"/>
        </w:rPr>
        <w:t>[2]</w:t>
      </w:r>
      <w:r>
        <w:rPr>
          <w:rFonts w:ascii="Arial" w:hAnsi="Arial" w:cs="Arial"/>
        </w:rPr>
        <w:fldChar w:fldCharType="end"/>
      </w:r>
      <w:r>
        <w:rPr>
          <w:rFonts w:ascii="Arial" w:hAnsi="Arial" w:cs="Arial"/>
        </w:rPr>
        <w:t>:</w:t>
      </w:r>
    </w:p>
    <w:tbl>
      <w:tblPr>
        <w:tblStyle w:val="TableGrid"/>
        <w:tblW w:w="0" w:type="auto"/>
        <w:tblLook w:val="04A0" w:firstRow="1" w:lastRow="0" w:firstColumn="1" w:lastColumn="0" w:noHBand="0" w:noVBand="1"/>
      </w:tblPr>
      <w:tblGrid>
        <w:gridCol w:w="9629"/>
      </w:tblGrid>
      <w:tr w:rsidR="00F4087D" w14:paraId="3C87A896" w14:textId="77777777" w:rsidTr="00F4087D">
        <w:tc>
          <w:tcPr>
            <w:tcW w:w="9629" w:type="dxa"/>
          </w:tcPr>
          <w:p w14:paraId="04441F60" w14:textId="77777777" w:rsidR="00F4087D" w:rsidRPr="00AC30C3" w:rsidRDefault="00F4087D" w:rsidP="004900BE">
            <w:pPr>
              <w:pStyle w:val="Doc-text2"/>
              <w:ind w:left="0" w:firstLine="0"/>
              <w:rPr>
                <w:u w:val="single"/>
              </w:rPr>
            </w:pPr>
            <w:r w:rsidRPr="00AC30C3">
              <w:rPr>
                <w:u w:val="single"/>
              </w:rPr>
              <w:t>Agreements:</w:t>
            </w:r>
          </w:p>
          <w:p w14:paraId="44744AE4" w14:textId="77777777" w:rsidR="00F4087D" w:rsidRPr="00AC30C3" w:rsidRDefault="00F4087D" w:rsidP="00F4087D">
            <w:pPr>
              <w:pStyle w:val="Agreement"/>
              <w:numPr>
                <w:ilvl w:val="0"/>
                <w:numId w:val="33"/>
              </w:numPr>
              <w:tabs>
                <w:tab w:val="num" w:pos="1619"/>
              </w:tabs>
              <w:rPr>
                <w:b w:val="0"/>
                <w:bCs/>
              </w:rPr>
            </w:pPr>
            <w:r w:rsidRPr="00AC30C3">
              <w:rPr>
                <w:b w:val="0"/>
                <w:bCs/>
              </w:rPr>
              <w:t>For earth-fixed cells, introduce t-</w:t>
            </w:r>
            <w:proofErr w:type="spellStart"/>
            <w:r w:rsidRPr="00AC30C3">
              <w:rPr>
                <w:b w:val="0"/>
                <w:bCs/>
              </w:rPr>
              <w:t>ServiceStart</w:t>
            </w:r>
            <w:proofErr w:type="spellEnd"/>
            <w:r w:rsidRPr="00AC30C3">
              <w:rPr>
                <w:b w:val="0"/>
                <w:bCs/>
              </w:rPr>
              <w:t xml:space="preserve"> for </w:t>
            </w:r>
            <w:proofErr w:type="spellStart"/>
            <w:r w:rsidRPr="00AC30C3">
              <w:rPr>
                <w:b w:val="0"/>
                <w:bCs/>
              </w:rPr>
              <w:t>neighbor</w:t>
            </w:r>
            <w:proofErr w:type="spellEnd"/>
            <w:r w:rsidRPr="00AC30C3">
              <w:rPr>
                <w:b w:val="0"/>
                <w:bCs/>
              </w:rPr>
              <w:t xml:space="preserve"> cells. If UE is aware of the t-</w:t>
            </w:r>
            <w:proofErr w:type="spellStart"/>
            <w:r w:rsidRPr="00AC30C3">
              <w:rPr>
                <w:b w:val="0"/>
                <w:bCs/>
              </w:rPr>
              <w:t>ServiceStart</w:t>
            </w:r>
            <w:proofErr w:type="spellEnd"/>
            <w:r w:rsidRPr="00AC30C3">
              <w:rPr>
                <w:b w:val="0"/>
                <w:bCs/>
              </w:rPr>
              <w:t xml:space="preserve"> of the neighbour </w:t>
            </w:r>
            <w:proofErr w:type="gramStart"/>
            <w:r w:rsidRPr="00AC30C3">
              <w:rPr>
                <w:b w:val="0"/>
                <w:bCs/>
              </w:rPr>
              <w:t>cell</w:t>
            </w:r>
            <w:proofErr w:type="gramEnd"/>
            <w:r w:rsidRPr="00AC30C3">
              <w:rPr>
                <w:b w:val="0"/>
                <w:bCs/>
              </w:rPr>
              <w:t xml:space="preserve"> then may be used (up to UE implementation) to determine when to start measurements of that </w:t>
            </w:r>
            <w:proofErr w:type="spellStart"/>
            <w:r w:rsidRPr="00AC30C3">
              <w:rPr>
                <w:b w:val="0"/>
                <w:bCs/>
              </w:rPr>
              <w:t>neighbor</w:t>
            </w:r>
            <w:proofErr w:type="spellEnd"/>
            <w:r w:rsidRPr="00AC30C3">
              <w:rPr>
                <w:b w:val="0"/>
                <w:bCs/>
              </w:rPr>
              <w:t xml:space="preserve"> cell</w:t>
            </w:r>
          </w:p>
          <w:p w14:paraId="3C69DC54" w14:textId="77777777" w:rsidR="00F4087D" w:rsidRPr="00AC30C3" w:rsidRDefault="00F4087D" w:rsidP="00F4087D">
            <w:pPr>
              <w:pStyle w:val="Agreement"/>
              <w:numPr>
                <w:ilvl w:val="0"/>
                <w:numId w:val="33"/>
              </w:numPr>
              <w:tabs>
                <w:tab w:val="num" w:pos="1619"/>
              </w:tabs>
              <w:rPr>
                <w:b w:val="0"/>
                <w:bCs/>
              </w:rPr>
            </w:pPr>
            <w:r>
              <w:rPr>
                <w:b w:val="0"/>
                <w:bCs/>
              </w:rPr>
              <w:t>I</w:t>
            </w:r>
            <w:r w:rsidRPr="00AC30C3">
              <w:rPr>
                <w:b w:val="0"/>
                <w:bCs/>
              </w:rPr>
              <w:t>f the serving cell t-service expires, stop T310 (if running) and start T311 (</w:t>
            </w:r>
            <w:proofErr w:type="gramStart"/>
            <w:r w:rsidRPr="00AC30C3">
              <w:rPr>
                <w:b w:val="0"/>
                <w:bCs/>
              </w:rPr>
              <w:t>i.e.</w:t>
            </w:r>
            <w:proofErr w:type="gramEnd"/>
            <w:r w:rsidRPr="00AC30C3">
              <w:rPr>
                <w:b w:val="0"/>
                <w:bCs/>
              </w:rPr>
              <w:t xml:space="preserve"> perform cell search and re-establishment without attempting to recover on the current cell for the duration of T310). FFS on discontinuous </w:t>
            </w:r>
            <w:proofErr w:type="gramStart"/>
            <w:r w:rsidRPr="00AC30C3">
              <w:rPr>
                <w:b w:val="0"/>
                <w:bCs/>
              </w:rPr>
              <w:t>coverage</w:t>
            </w:r>
            <w:proofErr w:type="gramEnd"/>
          </w:p>
          <w:p w14:paraId="443651A4" w14:textId="77777777" w:rsidR="00F4087D" w:rsidRPr="00AC30C3" w:rsidRDefault="00F4087D" w:rsidP="00F4087D">
            <w:pPr>
              <w:pStyle w:val="Agreement"/>
              <w:numPr>
                <w:ilvl w:val="0"/>
                <w:numId w:val="33"/>
              </w:numPr>
              <w:tabs>
                <w:tab w:val="num" w:pos="1619"/>
              </w:tabs>
              <w:rPr>
                <w:b w:val="0"/>
                <w:bCs/>
              </w:rPr>
            </w:pPr>
            <w:r w:rsidRPr="00AC30C3">
              <w:rPr>
                <w:b w:val="0"/>
                <w:bCs/>
              </w:rPr>
              <w:t>The distance between the UE and a second reference location (</w:t>
            </w:r>
            <w:proofErr w:type="gramStart"/>
            <w:r w:rsidRPr="00AC30C3">
              <w:rPr>
                <w:b w:val="0"/>
                <w:bCs/>
              </w:rPr>
              <w:t>e.g.</w:t>
            </w:r>
            <w:proofErr w:type="gramEnd"/>
            <w:r w:rsidRPr="00AC30C3">
              <w:rPr>
                <w:b w:val="0"/>
                <w:bCs/>
              </w:rPr>
              <w:t xml:space="preserve"> within a neighbour cell) is not taken into account.</w:t>
            </w:r>
          </w:p>
          <w:p w14:paraId="72E6D339" w14:textId="77777777" w:rsidR="00F4087D" w:rsidRDefault="00F4087D" w:rsidP="00F4087D">
            <w:pPr>
              <w:pStyle w:val="Agreement"/>
              <w:numPr>
                <w:ilvl w:val="0"/>
                <w:numId w:val="33"/>
              </w:numPr>
              <w:tabs>
                <w:tab w:val="num" w:pos="1619"/>
              </w:tabs>
              <w:rPr>
                <w:b w:val="0"/>
                <w:bCs/>
              </w:rPr>
            </w:pPr>
            <w:r w:rsidRPr="00AC30C3">
              <w:rPr>
                <w:b w:val="0"/>
                <w:bCs/>
              </w:rPr>
              <w:t xml:space="preserve">R18 location and </w:t>
            </w:r>
            <w:proofErr w:type="gramStart"/>
            <w:r w:rsidRPr="00AC30C3">
              <w:rPr>
                <w:b w:val="0"/>
                <w:bCs/>
              </w:rPr>
              <w:t>time based</w:t>
            </w:r>
            <w:proofErr w:type="gramEnd"/>
            <w:r w:rsidRPr="00AC30C3">
              <w:rPr>
                <w:b w:val="0"/>
                <w:bCs/>
              </w:rPr>
              <w:t xml:space="preserve"> trigger for measurements (for connected mode and for idle) apply to both NB-IoT and </w:t>
            </w:r>
            <w:proofErr w:type="spellStart"/>
            <w:r w:rsidRPr="00AC30C3">
              <w:rPr>
                <w:b w:val="0"/>
                <w:bCs/>
              </w:rPr>
              <w:t>eMTC</w:t>
            </w:r>
            <w:proofErr w:type="spellEnd"/>
            <w:r w:rsidRPr="00AC30C3">
              <w:rPr>
                <w:b w:val="0"/>
                <w:bCs/>
              </w:rPr>
              <w:t>.</w:t>
            </w:r>
          </w:p>
          <w:p w14:paraId="250B45F6" w14:textId="77777777" w:rsidR="00F4087D" w:rsidRDefault="00F4087D" w:rsidP="00E06B61">
            <w:pPr>
              <w:jc w:val="both"/>
              <w:rPr>
                <w:rFonts w:ascii="Arial" w:hAnsi="Arial" w:cs="Arial"/>
              </w:rPr>
            </w:pPr>
          </w:p>
        </w:tc>
      </w:tr>
    </w:tbl>
    <w:p w14:paraId="5A78215E" w14:textId="77777777" w:rsidR="00B474EC" w:rsidRDefault="00B474EC" w:rsidP="00E06B61">
      <w:pPr>
        <w:jc w:val="both"/>
        <w:rPr>
          <w:rFonts w:ascii="Arial" w:hAnsi="Arial" w:cs="Arial"/>
        </w:rPr>
      </w:pPr>
    </w:p>
    <w:p w14:paraId="397E0830" w14:textId="5718E5C3" w:rsidR="00F4087D" w:rsidRDefault="00F4087D" w:rsidP="00E06B61">
      <w:pPr>
        <w:jc w:val="both"/>
        <w:rPr>
          <w:rFonts w:ascii="Arial" w:hAnsi="Arial" w:cs="Arial"/>
        </w:rPr>
      </w:pPr>
      <w:r>
        <w:rPr>
          <w:rFonts w:ascii="Arial" w:hAnsi="Arial" w:cs="Arial"/>
        </w:rPr>
        <w:t xml:space="preserve">In </w:t>
      </w:r>
      <w:proofErr w:type="gramStart"/>
      <w:r>
        <w:rPr>
          <w:rFonts w:ascii="Arial" w:hAnsi="Arial" w:cs="Arial"/>
        </w:rPr>
        <w:t>addition</w:t>
      </w:r>
      <w:proofErr w:type="gramEnd"/>
      <w:r>
        <w:rPr>
          <w:rFonts w:ascii="Arial" w:hAnsi="Arial" w:cs="Arial"/>
        </w:rPr>
        <w:t xml:space="preserve"> the following proposal was discussed but postponed </w:t>
      </w:r>
      <w:r>
        <w:rPr>
          <w:rFonts w:ascii="Arial" w:hAnsi="Arial" w:cs="Arial"/>
        </w:rPr>
        <w:fldChar w:fldCharType="begin"/>
      </w:r>
      <w:r>
        <w:rPr>
          <w:rFonts w:ascii="Arial" w:hAnsi="Arial" w:cs="Arial"/>
        </w:rPr>
        <w:instrText xml:space="preserve"> REF _Ref142395447 \r \h </w:instrText>
      </w:r>
      <w:r>
        <w:rPr>
          <w:rFonts w:ascii="Arial" w:hAnsi="Arial" w:cs="Arial"/>
        </w:rPr>
      </w:r>
      <w:r>
        <w:rPr>
          <w:rFonts w:ascii="Arial" w:hAnsi="Arial" w:cs="Arial"/>
        </w:rPr>
        <w:fldChar w:fldCharType="separate"/>
      </w:r>
      <w:r>
        <w:rPr>
          <w:rFonts w:ascii="Arial" w:hAnsi="Arial" w:cs="Arial"/>
        </w:rPr>
        <w:t>[3]</w:t>
      </w:r>
      <w:r>
        <w:rPr>
          <w:rFonts w:ascii="Arial" w:hAnsi="Arial" w:cs="Arial"/>
        </w:rPr>
        <w:fldChar w:fldCharType="end"/>
      </w:r>
    </w:p>
    <w:tbl>
      <w:tblPr>
        <w:tblStyle w:val="TableGrid"/>
        <w:tblW w:w="0" w:type="auto"/>
        <w:tblLook w:val="04A0" w:firstRow="1" w:lastRow="0" w:firstColumn="1" w:lastColumn="0" w:noHBand="0" w:noVBand="1"/>
      </w:tblPr>
      <w:tblGrid>
        <w:gridCol w:w="9629"/>
      </w:tblGrid>
      <w:tr w:rsidR="00F4087D" w14:paraId="42361D08" w14:textId="77777777" w:rsidTr="00F4087D">
        <w:tc>
          <w:tcPr>
            <w:tcW w:w="9629" w:type="dxa"/>
          </w:tcPr>
          <w:p w14:paraId="60A44ECB" w14:textId="77777777" w:rsidR="00F4087D" w:rsidRDefault="00F4087D" w:rsidP="00F4087D">
            <w:pPr>
              <w:pStyle w:val="Comments"/>
            </w:pPr>
            <w:r>
              <w:t>Proposal 1: RAN2 to discuss whether to allow NTN CHO events to trigger independently.</w:t>
            </w:r>
          </w:p>
          <w:p w14:paraId="1A6FBE0E" w14:textId="77777777" w:rsidR="00F4087D" w:rsidRDefault="00F4087D" w:rsidP="00F4087D">
            <w:pPr>
              <w:pStyle w:val="Doc-text2"/>
              <w:numPr>
                <w:ilvl w:val="0"/>
                <w:numId w:val="34"/>
              </w:numPr>
            </w:pPr>
            <w:r>
              <w:t xml:space="preserve">Postponed to the next </w:t>
            </w:r>
            <w:proofErr w:type="gramStart"/>
            <w:r>
              <w:t>meeting</w:t>
            </w:r>
            <w:proofErr w:type="gramEnd"/>
          </w:p>
          <w:p w14:paraId="3EB85F8B" w14:textId="77777777" w:rsidR="00F4087D" w:rsidRDefault="00F4087D" w:rsidP="00E06B61">
            <w:pPr>
              <w:jc w:val="both"/>
              <w:rPr>
                <w:rFonts w:ascii="Arial" w:hAnsi="Arial" w:cs="Arial"/>
              </w:rPr>
            </w:pPr>
          </w:p>
        </w:tc>
      </w:tr>
    </w:tbl>
    <w:p w14:paraId="7F2B524D" w14:textId="77777777" w:rsidR="00F4087D" w:rsidRDefault="00F4087D" w:rsidP="00E06B61">
      <w:pPr>
        <w:jc w:val="both"/>
        <w:rPr>
          <w:rFonts w:ascii="Arial" w:hAnsi="Arial" w:cs="Arial"/>
        </w:rPr>
      </w:pPr>
    </w:p>
    <w:p w14:paraId="3D9A87E5" w14:textId="5653828C" w:rsidR="004316C0" w:rsidRPr="00AC3CD2" w:rsidRDefault="00B64ACB" w:rsidP="00E06B61">
      <w:pPr>
        <w:jc w:val="both"/>
        <w:rPr>
          <w:rFonts w:ascii="Arial" w:hAnsi="Arial" w:cs="Arial"/>
          <w:lang w:val="en-US"/>
        </w:rPr>
      </w:pPr>
      <w:r w:rsidRPr="00AC3CD2">
        <w:rPr>
          <w:rFonts w:ascii="Arial" w:hAnsi="Arial" w:cs="Arial"/>
          <w:lang w:val="en-US"/>
        </w:rPr>
        <w:t xml:space="preserve">In this contribution we </w:t>
      </w:r>
      <w:r w:rsidR="008C6F64">
        <w:rPr>
          <w:rFonts w:ascii="Arial" w:hAnsi="Arial" w:cs="Arial"/>
          <w:lang w:val="en-US"/>
        </w:rPr>
        <w:t>elaborate on the</w:t>
      </w:r>
      <w:r w:rsidRPr="00AC3CD2">
        <w:rPr>
          <w:rFonts w:ascii="Arial" w:hAnsi="Arial" w:cs="Arial"/>
          <w:lang w:val="en-US"/>
        </w:rPr>
        <w:t xml:space="preserve"> </w:t>
      </w:r>
      <w:r w:rsidR="00F4087D">
        <w:rPr>
          <w:rFonts w:ascii="Arial" w:hAnsi="Arial" w:cs="Arial"/>
          <w:lang w:val="en-US"/>
        </w:rPr>
        <w:t>remaining issues</w:t>
      </w:r>
      <w:r w:rsidR="00B474EC">
        <w:rPr>
          <w:rFonts w:ascii="Arial" w:hAnsi="Arial" w:cs="Arial"/>
          <w:lang w:val="en-US"/>
        </w:rPr>
        <w:t xml:space="preserve"> </w:t>
      </w:r>
      <w:r w:rsidR="00AB3F45">
        <w:rPr>
          <w:rFonts w:ascii="Arial" w:hAnsi="Arial" w:cs="Arial"/>
          <w:lang w:val="en-US"/>
        </w:rPr>
        <w:t xml:space="preserve">for NB-IoT and </w:t>
      </w:r>
      <w:proofErr w:type="spellStart"/>
      <w:r w:rsidR="00AB3F45">
        <w:rPr>
          <w:rFonts w:ascii="Arial" w:hAnsi="Arial" w:cs="Arial"/>
          <w:lang w:val="en-US"/>
        </w:rPr>
        <w:t>eMTC</w:t>
      </w:r>
      <w:proofErr w:type="spellEnd"/>
      <w:r w:rsidR="00AB3F45">
        <w:rPr>
          <w:rFonts w:ascii="Arial" w:hAnsi="Arial" w:cs="Arial"/>
          <w:lang w:val="en-US"/>
        </w:rPr>
        <w:t xml:space="preserve"> NTN mobility enhancement in Rel-18</w:t>
      </w:r>
      <w:r w:rsidR="001152DB">
        <w:rPr>
          <w:rFonts w:ascii="Arial" w:hAnsi="Arial" w:cs="Arial"/>
          <w:lang w:val="en-US"/>
        </w:rPr>
        <w:t xml:space="preserve"> which were not treated as part of </w:t>
      </w:r>
      <w:r w:rsidR="001152DB" w:rsidRPr="001152DB">
        <w:rPr>
          <w:rFonts w:ascii="Arial" w:hAnsi="Arial" w:cs="Arial"/>
          <w:lang w:val="en-US"/>
        </w:rPr>
        <w:t>[Post122][112]</w:t>
      </w:r>
      <w:r w:rsidR="001152DB">
        <w:rPr>
          <w:rFonts w:ascii="Arial" w:hAnsi="Arial" w:cs="Arial"/>
          <w:lang w:val="en-US"/>
        </w:rPr>
        <w:t xml:space="preserve"> </w:t>
      </w:r>
      <w:r w:rsidR="001152DB">
        <w:rPr>
          <w:rFonts w:ascii="Arial" w:hAnsi="Arial" w:cs="Arial"/>
          <w:lang w:val="en-US"/>
        </w:rPr>
        <w:fldChar w:fldCharType="begin"/>
      </w:r>
      <w:r w:rsidR="001152DB">
        <w:rPr>
          <w:rFonts w:ascii="Arial" w:hAnsi="Arial" w:cs="Arial"/>
          <w:lang w:val="en-US"/>
        </w:rPr>
        <w:instrText xml:space="preserve"> REF _Ref142410517 \r \h </w:instrText>
      </w:r>
      <w:r w:rsidR="001152DB">
        <w:rPr>
          <w:rFonts w:ascii="Arial" w:hAnsi="Arial" w:cs="Arial"/>
          <w:lang w:val="en-US"/>
        </w:rPr>
      </w:r>
      <w:r w:rsidR="001152DB">
        <w:rPr>
          <w:rFonts w:ascii="Arial" w:hAnsi="Arial" w:cs="Arial"/>
          <w:lang w:val="en-US"/>
        </w:rPr>
        <w:fldChar w:fldCharType="separate"/>
      </w:r>
      <w:r w:rsidR="001152DB">
        <w:rPr>
          <w:rFonts w:ascii="Arial" w:hAnsi="Arial" w:cs="Arial"/>
          <w:lang w:val="en-US"/>
        </w:rPr>
        <w:t>[4]</w:t>
      </w:r>
      <w:r w:rsidR="001152DB">
        <w:rPr>
          <w:rFonts w:ascii="Arial" w:hAnsi="Arial" w:cs="Arial"/>
          <w:lang w:val="en-US"/>
        </w:rPr>
        <w:fldChar w:fldCharType="end"/>
      </w:r>
      <w:r w:rsidR="001152DB" w:rsidRPr="001152DB">
        <w:rPr>
          <w:rFonts w:ascii="Arial" w:hAnsi="Arial" w:cs="Arial"/>
          <w:lang w:val="en-US"/>
        </w:rPr>
        <w:t>.</w:t>
      </w:r>
    </w:p>
    <w:p w14:paraId="552A99B5" w14:textId="7C97D4E5" w:rsidR="0030215B" w:rsidRPr="00AC3CD2" w:rsidRDefault="00B474EC" w:rsidP="0030215B">
      <w:pPr>
        <w:pStyle w:val="Heading1"/>
        <w:numPr>
          <w:ilvl w:val="0"/>
          <w:numId w:val="13"/>
        </w:numPr>
        <w:pBdr>
          <w:top w:val="single" w:sz="12" w:space="5" w:color="auto"/>
        </w:pBdr>
        <w:tabs>
          <w:tab w:val="clear" w:pos="720"/>
          <w:tab w:val="num" w:pos="360"/>
          <w:tab w:val="left" w:pos="426"/>
        </w:tabs>
        <w:ind w:hanging="720"/>
        <w:rPr>
          <w:rFonts w:ascii="Arial" w:hAnsi="Arial" w:cs="Arial"/>
        </w:rPr>
      </w:pPr>
      <w:r w:rsidRPr="00B474EC">
        <w:rPr>
          <w:rFonts w:ascii="Arial" w:hAnsi="Arial" w:cs="Arial"/>
        </w:rPr>
        <w:t xml:space="preserve">Neighbour cell measurements before RLF in NB-IoT </w:t>
      </w:r>
    </w:p>
    <w:p w14:paraId="12F43762" w14:textId="21943594" w:rsidR="00AB3F45" w:rsidRDefault="00F4087D" w:rsidP="00AB3F45">
      <w:pPr>
        <w:rPr>
          <w:rFonts w:ascii="Arial" w:hAnsi="Arial" w:cs="Arial"/>
        </w:rPr>
      </w:pPr>
      <w:r>
        <w:rPr>
          <w:rFonts w:ascii="Arial" w:hAnsi="Arial" w:cs="Arial"/>
          <w:lang w:val="en-US"/>
        </w:rPr>
        <w:t>As per the agreements in the previous meeting, the IoT-NTN UE in R18</w:t>
      </w:r>
      <w:r w:rsidR="005E6168">
        <w:rPr>
          <w:rFonts w:ascii="Arial" w:hAnsi="Arial" w:cs="Arial"/>
        </w:rPr>
        <w:t xml:space="preserve"> </w:t>
      </w:r>
      <w:r w:rsidR="003B611F">
        <w:rPr>
          <w:rFonts w:ascii="Arial" w:hAnsi="Arial" w:cs="Arial"/>
        </w:rPr>
        <w:t>may use t-</w:t>
      </w:r>
      <w:proofErr w:type="spellStart"/>
      <w:r w:rsidR="003B611F">
        <w:rPr>
          <w:rFonts w:ascii="Arial" w:hAnsi="Arial" w:cs="Arial"/>
        </w:rPr>
        <w:t>ServiceStart</w:t>
      </w:r>
      <w:proofErr w:type="spellEnd"/>
      <w:r w:rsidR="003B611F">
        <w:rPr>
          <w:rFonts w:ascii="Arial" w:hAnsi="Arial" w:cs="Arial"/>
        </w:rPr>
        <w:t xml:space="preserve"> for </w:t>
      </w:r>
      <w:proofErr w:type="spellStart"/>
      <w:r w:rsidR="003B611F">
        <w:rPr>
          <w:rFonts w:ascii="Arial" w:hAnsi="Arial" w:cs="Arial"/>
        </w:rPr>
        <w:t>neigbour</w:t>
      </w:r>
      <w:proofErr w:type="spellEnd"/>
      <w:r w:rsidR="003B611F">
        <w:rPr>
          <w:rFonts w:ascii="Arial" w:hAnsi="Arial" w:cs="Arial"/>
        </w:rPr>
        <w:t xml:space="preserve"> cells to determine when to start measurement for that neighbour cell. In addition, if the serving cell t-service expires then UE stops T310 (if running) and starts T311 (</w:t>
      </w:r>
      <w:proofErr w:type="gramStart"/>
      <w:r w:rsidR="003B611F">
        <w:rPr>
          <w:rFonts w:ascii="Arial" w:hAnsi="Arial" w:cs="Arial"/>
        </w:rPr>
        <w:t>i.e.</w:t>
      </w:r>
      <w:proofErr w:type="gramEnd"/>
      <w:r w:rsidR="003B611F">
        <w:rPr>
          <w:rFonts w:ascii="Arial" w:hAnsi="Arial" w:cs="Arial"/>
        </w:rPr>
        <w:t xml:space="preserve"> to perform the re-establishment), </w:t>
      </w:r>
      <w:r w:rsidR="005E6168">
        <w:rPr>
          <w:rFonts w:ascii="Arial" w:hAnsi="Arial" w:cs="Arial"/>
        </w:rPr>
        <w:t xml:space="preserve">for example as shown in figure </w:t>
      </w:r>
      <w:r w:rsidR="003B611F">
        <w:rPr>
          <w:rFonts w:ascii="Arial" w:hAnsi="Arial" w:cs="Arial"/>
        </w:rPr>
        <w:t>1</w:t>
      </w:r>
      <w:r w:rsidR="005E6168">
        <w:rPr>
          <w:rFonts w:ascii="Arial" w:hAnsi="Arial" w:cs="Arial"/>
        </w:rPr>
        <w:t>.</w:t>
      </w:r>
    </w:p>
    <w:p w14:paraId="41A0F431" w14:textId="066FA8EA" w:rsidR="00F802F6" w:rsidRDefault="005E6168" w:rsidP="0093396F">
      <w:pPr>
        <w:jc w:val="center"/>
        <w:rPr>
          <w:rFonts w:ascii="Arial" w:hAnsi="Arial" w:cs="Arial"/>
        </w:rPr>
      </w:pPr>
      <w:r>
        <w:rPr>
          <w:rFonts w:ascii="Arial" w:hAnsi="Arial" w:cs="Arial"/>
          <w:noProof/>
        </w:rPr>
        <w:drawing>
          <wp:inline distT="0" distB="0" distL="0" distR="0" wp14:anchorId="09CFA0FE" wp14:editId="16C975F3">
            <wp:extent cx="4812872" cy="2969699"/>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15085" cy="2971064"/>
                    </a:xfrm>
                    <a:prstGeom prst="rect">
                      <a:avLst/>
                    </a:prstGeom>
                    <a:noFill/>
                  </pic:spPr>
                </pic:pic>
              </a:graphicData>
            </a:graphic>
          </wp:inline>
        </w:drawing>
      </w:r>
    </w:p>
    <w:p w14:paraId="27AA8404" w14:textId="4DD82670" w:rsidR="005E6168" w:rsidRDefault="005E6168" w:rsidP="005E6168">
      <w:pPr>
        <w:jc w:val="center"/>
        <w:rPr>
          <w:rFonts w:ascii="Arial" w:hAnsi="Arial" w:cs="Arial"/>
          <w:b/>
          <w:bCs/>
          <w:lang w:val="en-US"/>
        </w:rPr>
      </w:pPr>
      <w:r w:rsidRPr="001123B7">
        <w:rPr>
          <w:rFonts w:ascii="Arial" w:hAnsi="Arial" w:cs="Arial"/>
          <w:b/>
          <w:bCs/>
          <w:lang w:val="en-US"/>
        </w:rPr>
        <w:t xml:space="preserve">Figure </w:t>
      </w:r>
      <w:r w:rsidR="003B611F">
        <w:rPr>
          <w:rFonts w:ascii="Arial" w:hAnsi="Arial" w:cs="Arial"/>
          <w:b/>
          <w:bCs/>
          <w:lang w:val="en-US"/>
        </w:rPr>
        <w:t>1</w:t>
      </w:r>
      <w:r w:rsidRPr="001123B7">
        <w:rPr>
          <w:rFonts w:ascii="Arial" w:hAnsi="Arial" w:cs="Arial"/>
          <w:b/>
          <w:bCs/>
          <w:lang w:val="en-US"/>
        </w:rPr>
        <w:t xml:space="preserve">: RLF </w:t>
      </w:r>
      <w:r>
        <w:rPr>
          <w:rFonts w:ascii="Arial" w:hAnsi="Arial" w:cs="Arial"/>
          <w:b/>
          <w:bCs/>
          <w:lang w:val="en-US"/>
        </w:rPr>
        <w:t>enhancement</w:t>
      </w:r>
      <w:r w:rsidRPr="001123B7">
        <w:rPr>
          <w:rFonts w:ascii="Arial" w:hAnsi="Arial" w:cs="Arial"/>
          <w:b/>
          <w:bCs/>
          <w:lang w:val="en-US"/>
        </w:rPr>
        <w:t xml:space="preserve"> </w:t>
      </w:r>
      <w:r>
        <w:rPr>
          <w:rFonts w:ascii="Arial" w:hAnsi="Arial" w:cs="Arial"/>
          <w:b/>
          <w:bCs/>
          <w:lang w:val="en-US"/>
        </w:rPr>
        <w:t xml:space="preserve">for IoT-NTN </w:t>
      </w:r>
      <w:r w:rsidRPr="001123B7">
        <w:rPr>
          <w:rFonts w:ascii="Arial" w:hAnsi="Arial" w:cs="Arial"/>
          <w:b/>
          <w:bCs/>
          <w:lang w:val="en-US"/>
        </w:rPr>
        <w:t>in Rel-1</w:t>
      </w:r>
      <w:r>
        <w:rPr>
          <w:rFonts w:ascii="Arial" w:hAnsi="Arial" w:cs="Arial"/>
          <w:b/>
          <w:bCs/>
          <w:lang w:val="en-US"/>
        </w:rPr>
        <w:t>8</w:t>
      </w:r>
      <w:r w:rsidR="001E5949">
        <w:rPr>
          <w:rFonts w:ascii="Arial" w:hAnsi="Arial" w:cs="Arial"/>
          <w:b/>
          <w:bCs/>
          <w:lang w:val="en-US"/>
        </w:rPr>
        <w:t xml:space="preserve"> overlapping </w:t>
      </w:r>
      <w:proofErr w:type="gramStart"/>
      <w:r w:rsidR="001E5949">
        <w:rPr>
          <w:rFonts w:ascii="Arial" w:hAnsi="Arial" w:cs="Arial"/>
          <w:b/>
          <w:bCs/>
          <w:lang w:val="en-US"/>
        </w:rPr>
        <w:t>coverage</w:t>
      </w:r>
      <w:proofErr w:type="gramEnd"/>
    </w:p>
    <w:p w14:paraId="2FDF64E0" w14:textId="77777777" w:rsidR="005E6168" w:rsidRPr="001123B7" w:rsidRDefault="005E6168" w:rsidP="005E6168">
      <w:pPr>
        <w:jc w:val="center"/>
        <w:rPr>
          <w:rFonts w:ascii="Arial" w:hAnsi="Arial" w:cs="Arial"/>
          <w:b/>
          <w:bCs/>
          <w:lang w:val="en-US"/>
        </w:rPr>
      </w:pPr>
    </w:p>
    <w:p w14:paraId="34963D68" w14:textId="42BF8038" w:rsidR="003B611F" w:rsidRDefault="003B611F" w:rsidP="00ED5855">
      <w:pPr>
        <w:rPr>
          <w:rFonts w:ascii="Arial" w:hAnsi="Arial" w:cs="Arial"/>
          <w:b/>
          <w:bCs/>
        </w:rPr>
      </w:pPr>
    </w:p>
    <w:p w14:paraId="55160EB1" w14:textId="181C5DB8" w:rsidR="00ED5855" w:rsidRDefault="003B611F" w:rsidP="00ED5855">
      <w:pPr>
        <w:rPr>
          <w:rFonts w:ascii="Arial" w:hAnsi="Arial" w:cs="Arial"/>
        </w:rPr>
      </w:pPr>
      <w:r w:rsidRPr="004900BE">
        <w:rPr>
          <w:rFonts w:ascii="Arial" w:hAnsi="Arial" w:cs="Arial"/>
        </w:rPr>
        <w:t>For the discontinuous coverage case</w:t>
      </w:r>
      <w:r w:rsidR="00ED5855" w:rsidRPr="004900BE">
        <w:rPr>
          <w:rFonts w:ascii="Arial" w:hAnsi="Arial" w:cs="Arial"/>
        </w:rPr>
        <w:t xml:space="preserve"> </w:t>
      </w:r>
      <w:r w:rsidRPr="004900BE">
        <w:rPr>
          <w:rFonts w:ascii="Arial" w:hAnsi="Arial" w:cs="Arial"/>
        </w:rPr>
        <w:t xml:space="preserve">it is FFS what behaviour to apply. We think </w:t>
      </w:r>
      <w:r w:rsidR="001E5949">
        <w:rPr>
          <w:rFonts w:ascii="Arial" w:hAnsi="Arial" w:cs="Arial"/>
        </w:rPr>
        <w:t>similar</w:t>
      </w:r>
      <w:r w:rsidRPr="004900BE">
        <w:rPr>
          <w:rFonts w:ascii="Arial" w:hAnsi="Arial" w:cs="Arial"/>
        </w:rPr>
        <w:t xml:space="preserve"> behaviour can apply for discontinuous coverage. By </w:t>
      </w:r>
      <w:proofErr w:type="gramStart"/>
      <w:r w:rsidRPr="004900BE">
        <w:rPr>
          <w:rFonts w:ascii="Arial" w:hAnsi="Arial" w:cs="Arial"/>
        </w:rPr>
        <w:t>taking into account</w:t>
      </w:r>
      <w:proofErr w:type="gramEnd"/>
      <w:r w:rsidRPr="004900BE">
        <w:rPr>
          <w:rFonts w:ascii="Arial" w:hAnsi="Arial" w:cs="Arial"/>
        </w:rPr>
        <w:t xml:space="preserve"> the serving cell t-service as well as the neighbour cell t-service start in the same way as agreed for overlapping coverage case, the coverage gap can be accounted for naturally, for example as shown in figure 2.</w:t>
      </w:r>
    </w:p>
    <w:p w14:paraId="3F4587FE" w14:textId="77777777" w:rsidR="001E5949" w:rsidRDefault="001E5949" w:rsidP="00ED5855">
      <w:pPr>
        <w:rPr>
          <w:rFonts w:ascii="Arial" w:hAnsi="Arial" w:cs="Arial"/>
        </w:rPr>
      </w:pPr>
    </w:p>
    <w:p w14:paraId="376657D8" w14:textId="5D9A6EE1" w:rsidR="001E5949" w:rsidRPr="004900BE" w:rsidRDefault="001E5949" w:rsidP="004900BE">
      <w:pPr>
        <w:jc w:val="center"/>
        <w:rPr>
          <w:rFonts w:ascii="Arial" w:hAnsi="Arial" w:cs="Arial"/>
        </w:rPr>
      </w:pPr>
      <w:r>
        <w:rPr>
          <w:rFonts w:ascii="Arial" w:hAnsi="Arial" w:cs="Arial"/>
          <w:noProof/>
        </w:rPr>
        <w:drawing>
          <wp:inline distT="0" distB="0" distL="0" distR="0" wp14:anchorId="178DFF16" wp14:editId="38DD893B">
            <wp:extent cx="5943600" cy="2489005"/>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76421" cy="2502749"/>
                    </a:xfrm>
                    <a:prstGeom prst="rect">
                      <a:avLst/>
                    </a:prstGeom>
                    <a:noFill/>
                  </pic:spPr>
                </pic:pic>
              </a:graphicData>
            </a:graphic>
          </wp:inline>
        </w:drawing>
      </w:r>
    </w:p>
    <w:p w14:paraId="3BCFCDAD" w14:textId="2F11EBF7" w:rsidR="003B611F" w:rsidRDefault="001E5949" w:rsidP="004900BE">
      <w:pPr>
        <w:jc w:val="center"/>
        <w:rPr>
          <w:rFonts w:ascii="Arial" w:hAnsi="Arial" w:cs="Arial"/>
          <w:b/>
          <w:bCs/>
        </w:rPr>
      </w:pPr>
      <w:r w:rsidRPr="001123B7">
        <w:rPr>
          <w:rFonts w:ascii="Arial" w:hAnsi="Arial" w:cs="Arial"/>
          <w:b/>
          <w:bCs/>
          <w:lang w:val="en-US"/>
        </w:rPr>
        <w:t xml:space="preserve">Figure </w:t>
      </w:r>
      <w:r>
        <w:rPr>
          <w:rFonts w:ascii="Arial" w:hAnsi="Arial" w:cs="Arial"/>
          <w:b/>
          <w:bCs/>
          <w:lang w:val="en-US"/>
        </w:rPr>
        <w:t>2</w:t>
      </w:r>
      <w:r w:rsidRPr="001123B7">
        <w:rPr>
          <w:rFonts w:ascii="Arial" w:hAnsi="Arial" w:cs="Arial"/>
          <w:b/>
          <w:bCs/>
          <w:lang w:val="en-US"/>
        </w:rPr>
        <w:t xml:space="preserve">: RLF </w:t>
      </w:r>
      <w:r>
        <w:rPr>
          <w:rFonts w:ascii="Arial" w:hAnsi="Arial" w:cs="Arial"/>
          <w:b/>
          <w:bCs/>
          <w:lang w:val="en-US"/>
        </w:rPr>
        <w:t>enhancement</w:t>
      </w:r>
      <w:r w:rsidRPr="001123B7">
        <w:rPr>
          <w:rFonts w:ascii="Arial" w:hAnsi="Arial" w:cs="Arial"/>
          <w:b/>
          <w:bCs/>
          <w:lang w:val="en-US"/>
        </w:rPr>
        <w:t xml:space="preserve"> </w:t>
      </w:r>
      <w:r>
        <w:rPr>
          <w:rFonts w:ascii="Arial" w:hAnsi="Arial" w:cs="Arial"/>
          <w:b/>
          <w:bCs/>
          <w:lang w:val="en-US"/>
        </w:rPr>
        <w:t xml:space="preserve">for IoT-NTN </w:t>
      </w:r>
      <w:r w:rsidRPr="001123B7">
        <w:rPr>
          <w:rFonts w:ascii="Arial" w:hAnsi="Arial" w:cs="Arial"/>
          <w:b/>
          <w:bCs/>
          <w:lang w:val="en-US"/>
        </w:rPr>
        <w:t>in Rel-1</w:t>
      </w:r>
      <w:r>
        <w:rPr>
          <w:rFonts w:ascii="Arial" w:hAnsi="Arial" w:cs="Arial"/>
          <w:b/>
          <w:bCs/>
          <w:lang w:val="en-US"/>
        </w:rPr>
        <w:t>8 discontinuous coverage</w:t>
      </w:r>
    </w:p>
    <w:p w14:paraId="0E731F87" w14:textId="77777777" w:rsidR="003B611F" w:rsidRDefault="003B611F" w:rsidP="00ED5855">
      <w:pPr>
        <w:rPr>
          <w:rFonts w:ascii="Arial" w:hAnsi="Arial" w:cs="Arial"/>
          <w:b/>
          <w:bCs/>
        </w:rPr>
      </w:pPr>
    </w:p>
    <w:p w14:paraId="4107FAB5" w14:textId="55C7D74A" w:rsidR="001E5949" w:rsidRDefault="001E5949" w:rsidP="00ED5855">
      <w:pPr>
        <w:rPr>
          <w:rFonts w:ascii="Arial" w:hAnsi="Arial" w:cs="Arial"/>
        </w:rPr>
      </w:pPr>
      <w:r w:rsidRPr="004900BE">
        <w:rPr>
          <w:rFonts w:ascii="Arial" w:hAnsi="Arial" w:cs="Arial"/>
        </w:rPr>
        <w:t xml:space="preserve">In the discontinuous coverage case, </w:t>
      </w:r>
      <w:proofErr w:type="gramStart"/>
      <w:r w:rsidRPr="004900BE">
        <w:rPr>
          <w:rFonts w:ascii="Arial" w:hAnsi="Arial" w:cs="Arial"/>
        </w:rPr>
        <w:t>similar to</w:t>
      </w:r>
      <w:proofErr w:type="gramEnd"/>
      <w:r w:rsidRPr="004900BE">
        <w:rPr>
          <w:rFonts w:ascii="Arial" w:hAnsi="Arial" w:cs="Arial"/>
        </w:rPr>
        <w:t xml:space="preserve"> the overlapping coverage case, there is no need to use T310 in order to attempt recovery on cell 1, because cell 1 is known to have stopped. The only real difference between the cases is the start time of the new cell (cell 2). Since this occurs after a coverage gap, and not before t-Service of the serving cell, it makes no sense to trigger measurements before t-Service, and it makes no sense to start T311 immediately upon t-Service. Rather, T311 should </w:t>
      </w:r>
      <w:proofErr w:type="gramStart"/>
      <w:r w:rsidRPr="004900BE">
        <w:rPr>
          <w:rFonts w:ascii="Arial" w:hAnsi="Arial" w:cs="Arial"/>
        </w:rPr>
        <w:t>start</w:t>
      </w:r>
      <w:proofErr w:type="gramEnd"/>
      <w:r w:rsidRPr="004900BE">
        <w:rPr>
          <w:rFonts w:ascii="Arial" w:hAnsi="Arial" w:cs="Arial"/>
        </w:rPr>
        <w:t xml:space="preserve"> and measurements should be triggered after t-</w:t>
      </w:r>
      <w:proofErr w:type="spellStart"/>
      <w:r w:rsidRPr="004900BE">
        <w:rPr>
          <w:rFonts w:ascii="Arial" w:hAnsi="Arial" w:cs="Arial"/>
        </w:rPr>
        <w:t>ServiceStart</w:t>
      </w:r>
      <w:proofErr w:type="spellEnd"/>
      <w:r w:rsidRPr="004900BE">
        <w:rPr>
          <w:rFonts w:ascii="Arial" w:hAnsi="Arial" w:cs="Arial"/>
        </w:rPr>
        <w:t xml:space="preserve"> of the new cell.</w:t>
      </w:r>
    </w:p>
    <w:p w14:paraId="67CEF198" w14:textId="77777777" w:rsidR="001E5949" w:rsidRDefault="001E5949" w:rsidP="00ED5855">
      <w:pPr>
        <w:rPr>
          <w:rFonts w:ascii="Arial" w:hAnsi="Arial" w:cs="Arial"/>
        </w:rPr>
      </w:pPr>
    </w:p>
    <w:p w14:paraId="65AD13B0" w14:textId="17DD1D7B" w:rsidR="001E5949" w:rsidRDefault="001E5949" w:rsidP="00ED5855">
      <w:pPr>
        <w:rPr>
          <w:bCs/>
        </w:rPr>
      </w:pPr>
      <w:r>
        <w:rPr>
          <w:rFonts w:ascii="Arial" w:hAnsi="Arial" w:cs="Arial"/>
        </w:rPr>
        <w:t xml:space="preserve">One of the agreements from the previous meeting allows the UE to trigger measurements only after the coverage gaps: </w:t>
      </w:r>
      <w:r w:rsidRPr="004900BE">
        <w:rPr>
          <w:bCs/>
          <w:i/>
          <w:iCs/>
        </w:rPr>
        <w:t xml:space="preserve">If UE is aware of the </w:t>
      </w:r>
      <w:r w:rsidRPr="004900BE">
        <w:rPr>
          <w:bCs/>
          <w:i/>
          <w:iCs/>
          <w:highlight w:val="yellow"/>
        </w:rPr>
        <w:t>t-</w:t>
      </w:r>
      <w:proofErr w:type="spellStart"/>
      <w:r w:rsidRPr="004900BE">
        <w:rPr>
          <w:bCs/>
          <w:i/>
          <w:iCs/>
          <w:highlight w:val="yellow"/>
        </w:rPr>
        <w:t>ServiceStart</w:t>
      </w:r>
      <w:proofErr w:type="spellEnd"/>
      <w:r w:rsidRPr="004900BE">
        <w:rPr>
          <w:bCs/>
          <w:i/>
          <w:iCs/>
          <w:highlight w:val="yellow"/>
        </w:rPr>
        <w:t xml:space="preserve"> of the neighbour cell then may be used (up to UE implementation) to determine when to start measurements of that </w:t>
      </w:r>
      <w:proofErr w:type="spellStart"/>
      <w:r w:rsidRPr="004900BE">
        <w:rPr>
          <w:bCs/>
          <w:i/>
          <w:iCs/>
          <w:highlight w:val="yellow"/>
        </w:rPr>
        <w:t>neighbor</w:t>
      </w:r>
      <w:proofErr w:type="spellEnd"/>
      <w:r w:rsidRPr="004900BE">
        <w:rPr>
          <w:bCs/>
          <w:i/>
          <w:iCs/>
          <w:highlight w:val="yellow"/>
        </w:rPr>
        <w:t xml:space="preserve"> </w:t>
      </w:r>
      <w:proofErr w:type="gramStart"/>
      <w:r w:rsidRPr="004900BE">
        <w:rPr>
          <w:bCs/>
          <w:i/>
          <w:iCs/>
          <w:highlight w:val="yellow"/>
        </w:rPr>
        <w:t>cell</w:t>
      </w:r>
      <w:proofErr w:type="gramEnd"/>
    </w:p>
    <w:p w14:paraId="04E09418" w14:textId="77777777" w:rsidR="001E5949" w:rsidRDefault="001E5949" w:rsidP="00ED5855">
      <w:pPr>
        <w:rPr>
          <w:rFonts w:ascii="Arial" w:hAnsi="Arial" w:cs="Arial"/>
        </w:rPr>
      </w:pPr>
    </w:p>
    <w:p w14:paraId="7412B9BF" w14:textId="270F1AEB" w:rsidR="001E5949" w:rsidRDefault="001E5949" w:rsidP="00ED5855">
      <w:pPr>
        <w:rPr>
          <w:rFonts w:ascii="Arial" w:hAnsi="Arial" w:cs="Arial"/>
        </w:rPr>
      </w:pPr>
      <w:r>
        <w:rPr>
          <w:rFonts w:ascii="Arial" w:hAnsi="Arial" w:cs="Arial"/>
        </w:rPr>
        <w:t>In other words, if the UE knows the t-</w:t>
      </w:r>
      <w:proofErr w:type="spellStart"/>
      <w:r>
        <w:rPr>
          <w:rFonts w:ascii="Arial" w:hAnsi="Arial" w:cs="Arial"/>
        </w:rPr>
        <w:t>ServiceStart</w:t>
      </w:r>
      <w:proofErr w:type="spellEnd"/>
      <w:r>
        <w:rPr>
          <w:rFonts w:ascii="Arial" w:hAnsi="Arial" w:cs="Arial"/>
        </w:rPr>
        <w:t xml:space="preserve"> is after a coverage gap, then UE may avoid triggering measurements before RLF and trigger only after the coverage gap.</w:t>
      </w:r>
    </w:p>
    <w:p w14:paraId="48EB86B9" w14:textId="77777777" w:rsidR="001E5949" w:rsidRDefault="001E5949" w:rsidP="00ED5855">
      <w:pPr>
        <w:rPr>
          <w:rFonts w:ascii="Arial" w:hAnsi="Arial" w:cs="Arial"/>
        </w:rPr>
      </w:pPr>
    </w:p>
    <w:p w14:paraId="5A659A93" w14:textId="61DBE165" w:rsidR="001E5949" w:rsidRDefault="001E5949" w:rsidP="00ED5855">
      <w:pPr>
        <w:rPr>
          <w:rFonts w:ascii="Arial" w:hAnsi="Arial" w:cs="Arial"/>
        </w:rPr>
      </w:pPr>
      <w:r>
        <w:rPr>
          <w:rFonts w:ascii="Arial" w:hAnsi="Arial" w:cs="Arial"/>
        </w:rPr>
        <w:t>Regarding RLF and re-establishment handling, the agreement from the previous meeting is as follows:</w:t>
      </w:r>
    </w:p>
    <w:p w14:paraId="6F168B66" w14:textId="77777777" w:rsidR="001E5949" w:rsidRPr="00AC30C3" w:rsidRDefault="001E5949" w:rsidP="001E5949">
      <w:pPr>
        <w:pStyle w:val="Agreement"/>
        <w:numPr>
          <w:ilvl w:val="0"/>
          <w:numId w:val="33"/>
        </w:numPr>
        <w:tabs>
          <w:tab w:val="num" w:pos="1619"/>
        </w:tabs>
        <w:rPr>
          <w:b w:val="0"/>
          <w:bCs/>
        </w:rPr>
      </w:pPr>
      <w:r>
        <w:rPr>
          <w:b w:val="0"/>
          <w:bCs/>
        </w:rPr>
        <w:t>I</w:t>
      </w:r>
      <w:r w:rsidRPr="00AC30C3">
        <w:rPr>
          <w:b w:val="0"/>
          <w:bCs/>
        </w:rPr>
        <w:t>f the serving cell t-service expires, stop T310 (if running) and start T311 (</w:t>
      </w:r>
      <w:proofErr w:type="gramStart"/>
      <w:r w:rsidRPr="00AC30C3">
        <w:rPr>
          <w:b w:val="0"/>
          <w:bCs/>
        </w:rPr>
        <w:t>i.e.</w:t>
      </w:r>
      <w:proofErr w:type="gramEnd"/>
      <w:r w:rsidRPr="00AC30C3">
        <w:rPr>
          <w:b w:val="0"/>
          <w:bCs/>
        </w:rPr>
        <w:t xml:space="preserve"> perform cell search and re-establishment without attempting to recover on the current cell for the duration of T310). FFS on discontinuous </w:t>
      </w:r>
      <w:proofErr w:type="gramStart"/>
      <w:r w:rsidRPr="00AC30C3">
        <w:rPr>
          <w:b w:val="0"/>
          <w:bCs/>
        </w:rPr>
        <w:t>coverage</w:t>
      </w:r>
      <w:proofErr w:type="gramEnd"/>
    </w:p>
    <w:p w14:paraId="31002EF7" w14:textId="77777777" w:rsidR="001E5949" w:rsidRDefault="001E5949" w:rsidP="00ED5855">
      <w:pPr>
        <w:rPr>
          <w:rFonts w:ascii="Arial" w:hAnsi="Arial" w:cs="Arial"/>
        </w:rPr>
      </w:pPr>
    </w:p>
    <w:p w14:paraId="430C7F4F" w14:textId="67FF99E9" w:rsidR="001E5949" w:rsidRDefault="001E5949" w:rsidP="00ED5855">
      <w:pPr>
        <w:rPr>
          <w:rFonts w:ascii="Arial" w:hAnsi="Arial" w:cs="Arial"/>
        </w:rPr>
      </w:pPr>
      <w:r>
        <w:rPr>
          <w:rFonts w:ascii="Arial" w:hAnsi="Arial" w:cs="Arial"/>
        </w:rPr>
        <w:t xml:space="preserve">The first part should also apply to discontinuous coverage, </w:t>
      </w:r>
      <w:proofErr w:type="gramStart"/>
      <w:r>
        <w:rPr>
          <w:rFonts w:ascii="Arial" w:hAnsi="Arial" w:cs="Arial"/>
        </w:rPr>
        <w:t>i.e. :</w:t>
      </w:r>
      <w:proofErr w:type="gramEnd"/>
      <w:r>
        <w:rPr>
          <w:rFonts w:ascii="Arial" w:hAnsi="Arial" w:cs="Arial"/>
        </w:rPr>
        <w:t xml:space="preserve"> </w:t>
      </w:r>
      <w:r>
        <w:rPr>
          <w:bCs/>
        </w:rPr>
        <w:t>I</w:t>
      </w:r>
      <w:r w:rsidRPr="00AC30C3">
        <w:rPr>
          <w:bCs/>
        </w:rPr>
        <w:t>f the serving cell t-service expires, stop T310 (if running)</w:t>
      </w:r>
    </w:p>
    <w:p w14:paraId="75C3BA47" w14:textId="77777777" w:rsidR="001E5949" w:rsidRDefault="001E5949" w:rsidP="00ED5855">
      <w:pPr>
        <w:rPr>
          <w:rFonts w:ascii="Arial" w:hAnsi="Arial" w:cs="Arial"/>
        </w:rPr>
      </w:pPr>
    </w:p>
    <w:p w14:paraId="65918474" w14:textId="77777777" w:rsidR="00C3762F" w:rsidRDefault="001E5949" w:rsidP="00ED5855">
      <w:pPr>
        <w:rPr>
          <w:bCs/>
          <w:color w:val="FF0000"/>
          <w:u w:val="single"/>
        </w:rPr>
      </w:pPr>
      <w:r>
        <w:rPr>
          <w:rFonts w:ascii="Arial" w:hAnsi="Arial" w:cs="Arial"/>
        </w:rPr>
        <w:t>The second part should be modified to</w:t>
      </w:r>
      <w:r w:rsidR="00C3762F">
        <w:rPr>
          <w:rFonts w:ascii="Arial" w:hAnsi="Arial" w:cs="Arial"/>
        </w:rPr>
        <w:t xml:space="preserve"> </w:t>
      </w:r>
      <w:r>
        <w:rPr>
          <w:rFonts w:ascii="Arial" w:hAnsi="Arial" w:cs="Arial"/>
        </w:rPr>
        <w:t xml:space="preserve">support discontinuous coverage: </w:t>
      </w:r>
      <w:r w:rsidRPr="00AC30C3">
        <w:rPr>
          <w:bCs/>
        </w:rPr>
        <w:t>and start T311 (</w:t>
      </w:r>
      <w:proofErr w:type="gramStart"/>
      <w:r w:rsidRPr="00AC30C3">
        <w:rPr>
          <w:bCs/>
        </w:rPr>
        <w:t>i.e.</w:t>
      </w:r>
      <w:proofErr w:type="gramEnd"/>
      <w:r w:rsidRPr="00AC30C3">
        <w:rPr>
          <w:bCs/>
        </w:rPr>
        <w:t xml:space="preserve"> perform cell search and re-establishment without attempting to recover on the current cell for the duration of T310)</w:t>
      </w:r>
      <w:r>
        <w:rPr>
          <w:bCs/>
        </w:rPr>
        <w:t xml:space="preserve"> </w:t>
      </w:r>
      <w:r w:rsidR="00C3762F" w:rsidRPr="00C3762F">
        <w:rPr>
          <w:bCs/>
          <w:color w:val="FF0000"/>
          <w:u w:val="single"/>
        </w:rPr>
        <w:t>upon t-</w:t>
      </w:r>
      <w:proofErr w:type="spellStart"/>
      <w:r w:rsidR="00C3762F" w:rsidRPr="00C3762F">
        <w:rPr>
          <w:bCs/>
          <w:color w:val="FF0000"/>
          <w:u w:val="single"/>
        </w:rPr>
        <w:t>ServiceStart</w:t>
      </w:r>
      <w:proofErr w:type="spellEnd"/>
      <w:r w:rsidR="00C3762F" w:rsidRPr="00C3762F">
        <w:rPr>
          <w:bCs/>
          <w:color w:val="FF0000"/>
          <w:u w:val="single"/>
        </w:rPr>
        <w:t xml:space="preserve"> of the upcoming cell.</w:t>
      </w:r>
    </w:p>
    <w:p w14:paraId="1BF7DE1C" w14:textId="77777777" w:rsidR="00C3762F" w:rsidRPr="00FD04F3" w:rsidRDefault="00C3762F" w:rsidP="00ED5855">
      <w:pPr>
        <w:rPr>
          <w:rFonts w:ascii="Arial" w:hAnsi="Arial" w:cs="Arial"/>
          <w:bCs/>
          <w:color w:val="FF0000"/>
          <w:u w:val="single"/>
        </w:rPr>
      </w:pPr>
    </w:p>
    <w:p w14:paraId="77678E83" w14:textId="410D073F" w:rsidR="00C3762F" w:rsidRPr="00FD04F3" w:rsidRDefault="00C3762F" w:rsidP="00ED5855">
      <w:pPr>
        <w:rPr>
          <w:rFonts w:ascii="Arial" w:hAnsi="Arial" w:cs="Arial"/>
          <w:b/>
          <w:color w:val="FF0000"/>
          <w:u w:val="single"/>
        </w:rPr>
      </w:pPr>
      <w:r w:rsidRPr="00FD04F3">
        <w:rPr>
          <w:rFonts w:ascii="Arial" w:hAnsi="Arial" w:cs="Arial"/>
          <w:b/>
        </w:rPr>
        <w:t>Proposal 1: For discontinuous coverage:</w:t>
      </w:r>
      <w:r w:rsidRPr="00FD04F3">
        <w:rPr>
          <w:rFonts w:ascii="Arial" w:hAnsi="Arial" w:cs="Arial"/>
          <w:b/>
          <w:u w:val="single"/>
        </w:rPr>
        <w:t xml:space="preserve"> </w:t>
      </w:r>
      <w:r w:rsidRPr="00FD04F3">
        <w:rPr>
          <w:rFonts w:ascii="Arial" w:hAnsi="Arial" w:cs="Arial"/>
          <w:b/>
        </w:rPr>
        <w:t>If the serving cell t-service expires, stop T310 (if running), and start T311 (</w:t>
      </w:r>
      <w:proofErr w:type="gramStart"/>
      <w:r w:rsidRPr="00FD04F3">
        <w:rPr>
          <w:rFonts w:ascii="Arial" w:hAnsi="Arial" w:cs="Arial"/>
          <w:b/>
        </w:rPr>
        <w:t>i.e.</w:t>
      </w:r>
      <w:proofErr w:type="gramEnd"/>
      <w:r w:rsidRPr="00FD04F3">
        <w:rPr>
          <w:rFonts w:ascii="Arial" w:hAnsi="Arial" w:cs="Arial"/>
          <w:b/>
        </w:rPr>
        <w:t xml:space="preserve"> perform cell search and re-establishment without attempting to recover on the current cell for the duration of T310) upon t-</w:t>
      </w:r>
      <w:proofErr w:type="spellStart"/>
      <w:r w:rsidRPr="00FD04F3">
        <w:rPr>
          <w:rFonts w:ascii="Arial" w:hAnsi="Arial" w:cs="Arial"/>
          <w:b/>
        </w:rPr>
        <w:t>ServiceStart</w:t>
      </w:r>
      <w:proofErr w:type="spellEnd"/>
      <w:r w:rsidRPr="00FD04F3">
        <w:rPr>
          <w:rFonts w:ascii="Arial" w:hAnsi="Arial" w:cs="Arial"/>
          <w:b/>
        </w:rPr>
        <w:t xml:space="preserve"> of the upcoming cell</w:t>
      </w:r>
      <w:r w:rsidR="00101428" w:rsidRPr="00FD04F3">
        <w:rPr>
          <w:rFonts w:ascii="Arial" w:hAnsi="Arial" w:cs="Arial"/>
          <w:b/>
        </w:rPr>
        <w:t>.</w:t>
      </w:r>
    </w:p>
    <w:p w14:paraId="02199DF7" w14:textId="380062C9" w:rsidR="00BE3740" w:rsidRPr="00AC3CD2" w:rsidRDefault="00BE3740" w:rsidP="00BE3740">
      <w:pPr>
        <w:pStyle w:val="Heading1"/>
        <w:numPr>
          <w:ilvl w:val="0"/>
          <w:numId w:val="13"/>
        </w:numPr>
        <w:pBdr>
          <w:top w:val="single" w:sz="12" w:space="5" w:color="auto"/>
        </w:pBdr>
        <w:tabs>
          <w:tab w:val="clear" w:pos="720"/>
          <w:tab w:val="num" w:pos="360"/>
          <w:tab w:val="left" w:pos="426"/>
        </w:tabs>
        <w:ind w:hanging="720"/>
        <w:rPr>
          <w:rFonts w:ascii="Arial" w:hAnsi="Arial" w:cs="Arial"/>
        </w:rPr>
      </w:pPr>
      <w:r>
        <w:rPr>
          <w:rFonts w:ascii="Arial" w:hAnsi="Arial" w:cs="Arial"/>
        </w:rPr>
        <w:t>CHO Enhancements</w:t>
      </w:r>
    </w:p>
    <w:p w14:paraId="2BCDCD9F" w14:textId="387B46C9" w:rsidR="00BE3740" w:rsidRPr="00AB3F45" w:rsidRDefault="007810DD" w:rsidP="00BE3740">
      <w:pPr>
        <w:pStyle w:val="Heading2"/>
      </w:pPr>
      <w:r>
        <w:rPr>
          <w:rStyle w:val="Emphasis"/>
          <w:i w:val="0"/>
          <w:iCs/>
        </w:rPr>
        <w:t>3</w:t>
      </w:r>
      <w:r w:rsidR="00BE3740" w:rsidRPr="00AB3F45">
        <w:rPr>
          <w:rStyle w:val="Emphasis"/>
          <w:i w:val="0"/>
          <w:iCs/>
        </w:rPr>
        <w:t>.1</w:t>
      </w:r>
      <w:r w:rsidR="00BE3740" w:rsidRPr="00AB3F45">
        <w:rPr>
          <w:rStyle w:val="Emphasis"/>
          <w:i w:val="0"/>
          <w:iCs/>
        </w:rPr>
        <w:tab/>
      </w:r>
      <w:r w:rsidR="00BE3740" w:rsidRPr="00AB3F45">
        <w:t>Background</w:t>
      </w:r>
    </w:p>
    <w:p w14:paraId="28BA71E4" w14:textId="07F9174C" w:rsidR="00ED5855" w:rsidRDefault="00531C61" w:rsidP="00486FBF">
      <w:pPr>
        <w:rPr>
          <w:rFonts w:ascii="Arial" w:hAnsi="Arial" w:cs="Arial"/>
        </w:rPr>
      </w:pPr>
      <w:r>
        <w:rPr>
          <w:rFonts w:ascii="Arial" w:hAnsi="Arial" w:cs="Arial"/>
        </w:rPr>
        <w:t xml:space="preserve">In RAN2#120 some agreements were made regarding </w:t>
      </w:r>
      <w:r w:rsidR="00351FA8">
        <w:rPr>
          <w:rFonts w:ascii="Arial" w:hAnsi="Arial" w:cs="Arial"/>
        </w:rPr>
        <w:t>conditional reconfiguration, as follows:</w:t>
      </w:r>
    </w:p>
    <w:tbl>
      <w:tblPr>
        <w:tblStyle w:val="TableGrid"/>
        <w:tblW w:w="0" w:type="auto"/>
        <w:tblLook w:val="04A0" w:firstRow="1" w:lastRow="0" w:firstColumn="1" w:lastColumn="0" w:noHBand="0" w:noVBand="1"/>
      </w:tblPr>
      <w:tblGrid>
        <w:gridCol w:w="9629"/>
      </w:tblGrid>
      <w:tr w:rsidR="00351FA8" w14:paraId="4E7F2A7A" w14:textId="77777777" w:rsidTr="001E6B10">
        <w:tc>
          <w:tcPr>
            <w:tcW w:w="9629" w:type="dxa"/>
          </w:tcPr>
          <w:p w14:paraId="47B1101A" w14:textId="77777777" w:rsidR="00351FA8" w:rsidRPr="00CC200C" w:rsidRDefault="00351FA8" w:rsidP="00351FA8">
            <w:pPr>
              <w:pStyle w:val="ListParagraph"/>
              <w:numPr>
                <w:ilvl w:val="0"/>
                <w:numId w:val="32"/>
              </w:numPr>
              <w:ind w:left="1440"/>
              <w:rPr>
                <w:rFonts w:asciiTheme="minorHAnsi" w:eastAsia="MS Mincho" w:hAnsiTheme="minorHAnsi" w:cstheme="minorHAnsi"/>
                <w:b/>
                <w:bCs/>
                <w:sz w:val="20"/>
                <w:szCs w:val="20"/>
              </w:rPr>
            </w:pPr>
            <w:r w:rsidRPr="00CC200C">
              <w:rPr>
                <w:rFonts w:asciiTheme="minorHAnsi" w:eastAsia="MS Mincho" w:hAnsiTheme="minorHAnsi" w:cstheme="minorHAnsi"/>
                <w:b/>
                <w:bCs/>
                <w:sz w:val="20"/>
                <w:szCs w:val="20"/>
              </w:rPr>
              <w:t>CHO time trigger event is defined as time duration [t1, t2] associated for each CHO candidate cell. The UE shall execute CHO to that candidate cell during the time duration, if all other configured CHO execution conditions will apply and there is only one triggered candidate cell.: UE is allowed to perform HO only during T1 to T2.</w:t>
            </w:r>
          </w:p>
          <w:p w14:paraId="6EC3A396" w14:textId="77777777" w:rsidR="00351FA8" w:rsidRPr="00CC200C" w:rsidRDefault="00351FA8" w:rsidP="00351FA8">
            <w:pPr>
              <w:pStyle w:val="ListParagraph"/>
              <w:numPr>
                <w:ilvl w:val="0"/>
                <w:numId w:val="32"/>
              </w:numPr>
              <w:ind w:left="1440"/>
              <w:rPr>
                <w:rFonts w:asciiTheme="minorHAnsi" w:eastAsia="MS Mincho" w:hAnsiTheme="minorHAnsi" w:cstheme="minorHAnsi"/>
                <w:b/>
                <w:bCs/>
                <w:sz w:val="20"/>
                <w:szCs w:val="20"/>
              </w:rPr>
            </w:pPr>
            <w:r w:rsidRPr="00CC200C">
              <w:rPr>
                <w:rFonts w:asciiTheme="minorHAnsi" w:eastAsia="MS Mincho" w:hAnsiTheme="minorHAnsi" w:cstheme="minorHAnsi"/>
                <w:b/>
                <w:bCs/>
                <w:sz w:val="20"/>
                <w:szCs w:val="20"/>
              </w:rPr>
              <w:t xml:space="preserve">For </w:t>
            </w:r>
            <w:proofErr w:type="spellStart"/>
            <w:r w:rsidRPr="00CC200C">
              <w:rPr>
                <w:rFonts w:asciiTheme="minorHAnsi" w:eastAsia="MS Mincho" w:hAnsiTheme="minorHAnsi" w:cstheme="minorHAnsi"/>
                <w:b/>
                <w:bCs/>
                <w:sz w:val="20"/>
                <w:szCs w:val="20"/>
              </w:rPr>
              <w:t>eMTC</w:t>
            </w:r>
            <w:proofErr w:type="spellEnd"/>
            <w:r w:rsidRPr="00CC200C">
              <w:rPr>
                <w:rFonts w:asciiTheme="minorHAnsi" w:eastAsia="MS Mincho" w:hAnsiTheme="minorHAnsi" w:cstheme="minorHAnsi"/>
                <w:b/>
                <w:bCs/>
                <w:sz w:val="20"/>
                <w:szCs w:val="20"/>
              </w:rPr>
              <w:t xml:space="preserve"> NTN, introduce a location-based conditional reconfiguration trigger based on condEventD1 in NR, where the event will be satisfied if the distance between the UE and a first reference location (</w:t>
            </w:r>
            <w:proofErr w:type="gramStart"/>
            <w:r w:rsidRPr="00CC200C">
              <w:rPr>
                <w:rFonts w:asciiTheme="minorHAnsi" w:eastAsia="MS Mincho" w:hAnsiTheme="minorHAnsi" w:cstheme="minorHAnsi"/>
                <w:b/>
                <w:bCs/>
                <w:sz w:val="20"/>
                <w:szCs w:val="20"/>
              </w:rPr>
              <w:t>e.g.</w:t>
            </w:r>
            <w:proofErr w:type="gramEnd"/>
            <w:r w:rsidRPr="00CC200C">
              <w:rPr>
                <w:rFonts w:asciiTheme="minorHAnsi" w:eastAsia="MS Mincho" w:hAnsiTheme="minorHAnsi" w:cstheme="minorHAnsi"/>
                <w:b/>
                <w:bCs/>
                <w:sz w:val="20"/>
                <w:szCs w:val="20"/>
              </w:rPr>
              <w:t xml:space="preserve"> within the serving cell) is above a threshold, and the distance between the UE and a second reference location (e.g. within a neighbour cell) is below a threshold. (</w:t>
            </w:r>
            <w:proofErr w:type="gramStart"/>
            <w:r w:rsidRPr="00CC200C">
              <w:rPr>
                <w:rFonts w:asciiTheme="minorHAnsi" w:eastAsia="MS Mincho" w:hAnsiTheme="minorHAnsi" w:cstheme="minorHAnsi"/>
                <w:b/>
                <w:bCs/>
                <w:sz w:val="20"/>
                <w:szCs w:val="20"/>
              </w:rPr>
              <w:t>similar</w:t>
            </w:r>
            <w:proofErr w:type="gramEnd"/>
            <w:r w:rsidRPr="00CC200C">
              <w:rPr>
                <w:rFonts w:asciiTheme="minorHAnsi" w:eastAsia="MS Mincho" w:hAnsiTheme="minorHAnsi" w:cstheme="minorHAnsi"/>
                <w:b/>
                <w:bCs/>
                <w:sz w:val="20"/>
                <w:szCs w:val="20"/>
              </w:rPr>
              <w:t xml:space="preserve"> to condEventD1 in NR)</w:t>
            </w:r>
          </w:p>
          <w:p w14:paraId="6267B224" w14:textId="77777777" w:rsidR="00351FA8" w:rsidRPr="00CC200C" w:rsidRDefault="00351FA8" w:rsidP="00351FA8">
            <w:pPr>
              <w:pStyle w:val="ListParagraph"/>
              <w:numPr>
                <w:ilvl w:val="0"/>
                <w:numId w:val="32"/>
              </w:numPr>
              <w:ind w:left="1440"/>
              <w:rPr>
                <w:rFonts w:asciiTheme="minorHAnsi" w:eastAsia="MS Mincho" w:hAnsiTheme="minorHAnsi" w:cstheme="minorHAnsi"/>
                <w:b/>
                <w:bCs/>
                <w:sz w:val="20"/>
                <w:szCs w:val="20"/>
              </w:rPr>
            </w:pPr>
            <w:r w:rsidRPr="00CC200C">
              <w:rPr>
                <w:rFonts w:asciiTheme="minorHAnsi" w:eastAsia="MS Mincho" w:hAnsiTheme="minorHAnsi" w:cstheme="minorHAnsi"/>
                <w:b/>
                <w:bCs/>
                <w:sz w:val="20"/>
                <w:szCs w:val="20"/>
              </w:rPr>
              <w:t xml:space="preserve">For </w:t>
            </w:r>
            <w:proofErr w:type="spellStart"/>
            <w:r w:rsidRPr="00CC200C">
              <w:rPr>
                <w:rFonts w:asciiTheme="minorHAnsi" w:eastAsia="MS Mincho" w:hAnsiTheme="minorHAnsi" w:cstheme="minorHAnsi"/>
                <w:b/>
                <w:bCs/>
                <w:sz w:val="20"/>
                <w:szCs w:val="20"/>
              </w:rPr>
              <w:t>eMTC</w:t>
            </w:r>
            <w:proofErr w:type="spellEnd"/>
            <w:r w:rsidRPr="00CC200C">
              <w:rPr>
                <w:rFonts w:asciiTheme="minorHAnsi" w:eastAsia="MS Mincho" w:hAnsiTheme="minorHAnsi" w:cstheme="minorHAnsi"/>
                <w:b/>
                <w:bCs/>
                <w:sz w:val="20"/>
                <w:szCs w:val="20"/>
              </w:rPr>
              <w:t xml:space="preserve"> NTN, introduce event A4 based conditional trigger (</w:t>
            </w:r>
            <w:proofErr w:type="gramStart"/>
            <w:r w:rsidRPr="00CC200C">
              <w:rPr>
                <w:rFonts w:asciiTheme="minorHAnsi" w:eastAsia="MS Mincho" w:hAnsiTheme="minorHAnsi" w:cstheme="minorHAnsi"/>
                <w:b/>
                <w:bCs/>
                <w:sz w:val="20"/>
                <w:szCs w:val="20"/>
              </w:rPr>
              <w:t>similar to</w:t>
            </w:r>
            <w:proofErr w:type="gramEnd"/>
            <w:r w:rsidRPr="00CC200C">
              <w:rPr>
                <w:rFonts w:asciiTheme="minorHAnsi" w:eastAsia="MS Mincho" w:hAnsiTheme="minorHAnsi" w:cstheme="minorHAnsi"/>
                <w:b/>
                <w:bCs/>
                <w:sz w:val="20"/>
                <w:szCs w:val="20"/>
              </w:rPr>
              <w:t xml:space="preserve"> condEventA4 in NR). </w:t>
            </w:r>
          </w:p>
          <w:p w14:paraId="3F2A0AA3" w14:textId="77777777" w:rsidR="00351FA8" w:rsidRPr="00CC200C" w:rsidRDefault="00351FA8" w:rsidP="00351FA8">
            <w:pPr>
              <w:pStyle w:val="ListParagraph"/>
              <w:numPr>
                <w:ilvl w:val="0"/>
                <w:numId w:val="32"/>
              </w:numPr>
              <w:ind w:left="1440"/>
              <w:rPr>
                <w:rFonts w:asciiTheme="minorHAnsi" w:eastAsia="MS Mincho" w:hAnsiTheme="minorHAnsi" w:cstheme="minorHAnsi"/>
                <w:b/>
                <w:bCs/>
                <w:sz w:val="20"/>
                <w:szCs w:val="20"/>
              </w:rPr>
            </w:pPr>
            <w:r w:rsidRPr="00CC200C">
              <w:rPr>
                <w:rFonts w:asciiTheme="minorHAnsi" w:eastAsia="MS Mincho" w:hAnsiTheme="minorHAnsi" w:cstheme="minorHAnsi"/>
                <w:b/>
                <w:bCs/>
                <w:sz w:val="20"/>
                <w:szCs w:val="20"/>
              </w:rPr>
              <w:t xml:space="preserve">FFS whether time and location-based trigger conditions may be configured independently (i.e., without a jointly configured event A4 measurement condition) for </w:t>
            </w:r>
            <w:proofErr w:type="spellStart"/>
            <w:r w:rsidRPr="00CC200C">
              <w:rPr>
                <w:rFonts w:asciiTheme="minorHAnsi" w:eastAsia="MS Mincho" w:hAnsiTheme="minorHAnsi" w:cstheme="minorHAnsi"/>
                <w:b/>
                <w:bCs/>
                <w:sz w:val="20"/>
                <w:szCs w:val="20"/>
              </w:rPr>
              <w:t>eMTC</w:t>
            </w:r>
            <w:proofErr w:type="spellEnd"/>
            <w:r w:rsidRPr="00CC200C">
              <w:rPr>
                <w:rFonts w:asciiTheme="minorHAnsi" w:eastAsia="MS Mincho" w:hAnsiTheme="minorHAnsi" w:cstheme="minorHAnsi"/>
                <w:b/>
                <w:bCs/>
                <w:sz w:val="20"/>
                <w:szCs w:val="20"/>
              </w:rPr>
              <w:t xml:space="preserve"> NTN.</w:t>
            </w:r>
          </w:p>
          <w:p w14:paraId="679EB47E" w14:textId="77777777" w:rsidR="00351FA8" w:rsidRDefault="00351FA8" w:rsidP="00486FBF">
            <w:pPr>
              <w:rPr>
                <w:rFonts w:ascii="Arial" w:hAnsi="Arial" w:cs="Arial"/>
              </w:rPr>
            </w:pPr>
          </w:p>
        </w:tc>
      </w:tr>
    </w:tbl>
    <w:p w14:paraId="1C3D1F0B" w14:textId="77777777" w:rsidR="001E6B10" w:rsidRDefault="001E6B10" w:rsidP="001E6B10">
      <w:pPr>
        <w:jc w:val="both"/>
        <w:rPr>
          <w:rFonts w:ascii="Arial" w:hAnsi="Arial" w:cs="Arial"/>
        </w:rPr>
      </w:pPr>
      <w:r>
        <w:rPr>
          <w:rFonts w:ascii="Arial" w:hAnsi="Arial" w:cs="Arial"/>
        </w:rPr>
        <w:t xml:space="preserve">In </w:t>
      </w:r>
      <w:proofErr w:type="gramStart"/>
      <w:r>
        <w:rPr>
          <w:rFonts w:ascii="Arial" w:hAnsi="Arial" w:cs="Arial"/>
        </w:rPr>
        <w:t>addition</w:t>
      </w:r>
      <w:proofErr w:type="gramEnd"/>
      <w:r>
        <w:rPr>
          <w:rFonts w:ascii="Arial" w:hAnsi="Arial" w:cs="Arial"/>
        </w:rPr>
        <w:t xml:space="preserve"> the following proposal was discussed but postponed </w:t>
      </w:r>
      <w:r>
        <w:rPr>
          <w:rFonts w:ascii="Arial" w:hAnsi="Arial" w:cs="Arial"/>
        </w:rPr>
        <w:fldChar w:fldCharType="begin"/>
      </w:r>
      <w:r>
        <w:rPr>
          <w:rFonts w:ascii="Arial" w:hAnsi="Arial" w:cs="Arial"/>
        </w:rPr>
        <w:instrText xml:space="preserve"> REF _Ref142395447 \r \h </w:instrText>
      </w:r>
      <w:r>
        <w:rPr>
          <w:rFonts w:ascii="Arial" w:hAnsi="Arial" w:cs="Arial"/>
        </w:rPr>
      </w:r>
      <w:r>
        <w:rPr>
          <w:rFonts w:ascii="Arial" w:hAnsi="Arial" w:cs="Arial"/>
        </w:rPr>
        <w:fldChar w:fldCharType="separate"/>
      </w:r>
      <w:r>
        <w:rPr>
          <w:rFonts w:ascii="Arial" w:hAnsi="Arial" w:cs="Arial"/>
        </w:rPr>
        <w:t>[3]</w:t>
      </w:r>
      <w:r>
        <w:rPr>
          <w:rFonts w:ascii="Arial" w:hAnsi="Arial" w:cs="Arial"/>
        </w:rPr>
        <w:fldChar w:fldCharType="end"/>
      </w:r>
    </w:p>
    <w:tbl>
      <w:tblPr>
        <w:tblStyle w:val="TableGrid"/>
        <w:tblW w:w="0" w:type="auto"/>
        <w:tblLook w:val="04A0" w:firstRow="1" w:lastRow="0" w:firstColumn="1" w:lastColumn="0" w:noHBand="0" w:noVBand="1"/>
      </w:tblPr>
      <w:tblGrid>
        <w:gridCol w:w="9629"/>
      </w:tblGrid>
      <w:tr w:rsidR="001E6B10" w14:paraId="41CC345D" w14:textId="77777777" w:rsidTr="006A0632">
        <w:tc>
          <w:tcPr>
            <w:tcW w:w="9629" w:type="dxa"/>
          </w:tcPr>
          <w:p w14:paraId="6FDCBAF7" w14:textId="77777777" w:rsidR="001E6B10" w:rsidRDefault="001E6B10" w:rsidP="006A0632">
            <w:pPr>
              <w:pStyle w:val="Comments"/>
            </w:pPr>
            <w:r>
              <w:t>Proposal 1: RAN2 to discuss whether to allow NTN CHO events to trigger independently.</w:t>
            </w:r>
          </w:p>
          <w:p w14:paraId="01FD8AFF" w14:textId="77777777" w:rsidR="001E6B10" w:rsidRDefault="001E6B10" w:rsidP="001E6B10">
            <w:pPr>
              <w:pStyle w:val="Doc-text2"/>
              <w:numPr>
                <w:ilvl w:val="0"/>
                <w:numId w:val="35"/>
              </w:numPr>
            </w:pPr>
            <w:r>
              <w:t xml:space="preserve">Postponed to the next </w:t>
            </w:r>
            <w:proofErr w:type="gramStart"/>
            <w:r>
              <w:t>meeting</w:t>
            </w:r>
            <w:proofErr w:type="gramEnd"/>
          </w:p>
          <w:p w14:paraId="76CA1673" w14:textId="77777777" w:rsidR="001E6B10" w:rsidRDefault="001E6B10" w:rsidP="006A0632">
            <w:pPr>
              <w:jc w:val="both"/>
              <w:rPr>
                <w:rFonts w:ascii="Arial" w:hAnsi="Arial" w:cs="Arial"/>
              </w:rPr>
            </w:pPr>
          </w:p>
        </w:tc>
      </w:tr>
    </w:tbl>
    <w:p w14:paraId="79FF77C7" w14:textId="14752C11" w:rsidR="00351FA8" w:rsidRDefault="00351FA8" w:rsidP="00486FBF">
      <w:pPr>
        <w:rPr>
          <w:rFonts w:ascii="Arial" w:hAnsi="Arial" w:cs="Arial"/>
        </w:rPr>
      </w:pPr>
    </w:p>
    <w:p w14:paraId="1F02B2A2" w14:textId="73BD902A" w:rsidR="00923A85" w:rsidRDefault="007810DD" w:rsidP="00923A85">
      <w:pPr>
        <w:pStyle w:val="Heading2"/>
      </w:pPr>
      <w:r>
        <w:t>3</w:t>
      </w:r>
      <w:r w:rsidR="00923A85">
        <w:t>.2</w:t>
      </w:r>
      <w:r w:rsidR="00923A85">
        <w:tab/>
        <w:t xml:space="preserve"> Discussion</w:t>
      </w:r>
    </w:p>
    <w:p w14:paraId="37B73D32" w14:textId="77777777" w:rsidR="007810DD" w:rsidRPr="007810DD" w:rsidRDefault="007810DD" w:rsidP="00C36D19">
      <w:pPr>
        <w:pStyle w:val="Doc-title"/>
      </w:pPr>
    </w:p>
    <w:p w14:paraId="6E95E00D" w14:textId="50FF3D0A" w:rsidR="006D50F0" w:rsidRDefault="00351FA8" w:rsidP="00486FBF">
      <w:pPr>
        <w:rPr>
          <w:rFonts w:ascii="Arial" w:hAnsi="Arial" w:cs="Arial"/>
        </w:rPr>
      </w:pPr>
      <w:r>
        <w:rPr>
          <w:rFonts w:ascii="Arial" w:hAnsi="Arial" w:cs="Arial"/>
        </w:rPr>
        <w:t xml:space="preserve">In our opinion, the first agreement </w:t>
      </w:r>
      <w:r w:rsidR="001E6B10">
        <w:rPr>
          <w:rFonts w:ascii="Arial" w:hAnsi="Arial" w:cs="Arial"/>
        </w:rPr>
        <w:t xml:space="preserve">from RAN2#120 </w:t>
      </w:r>
      <w:r w:rsidR="00E06F2B">
        <w:rPr>
          <w:rFonts w:ascii="Arial" w:hAnsi="Arial" w:cs="Arial"/>
        </w:rPr>
        <w:t xml:space="preserve">on </w:t>
      </w:r>
      <w:proofErr w:type="gramStart"/>
      <w:r w:rsidR="00E06F2B">
        <w:rPr>
          <w:rFonts w:ascii="Arial" w:hAnsi="Arial" w:cs="Arial"/>
        </w:rPr>
        <w:t>time based</w:t>
      </w:r>
      <w:proofErr w:type="gramEnd"/>
      <w:r w:rsidR="00E06F2B">
        <w:rPr>
          <w:rFonts w:ascii="Arial" w:hAnsi="Arial" w:cs="Arial"/>
        </w:rPr>
        <w:t xml:space="preserve"> trigger </w:t>
      </w:r>
      <w:r>
        <w:rPr>
          <w:rFonts w:ascii="Arial" w:hAnsi="Arial" w:cs="Arial"/>
        </w:rPr>
        <w:t>should be clarified such that the stage 3 behaviour is more clear</w:t>
      </w:r>
      <w:r w:rsidR="00E06F2B">
        <w:rPr>
          <w:rFonts w:ascii="Arial" w:hAnsi="Arial" w:cs="Arial"/>
        </w:rPr>
        <w:t xml:space="preserve"> and NR behaviour can be used as a baseline</w:t>
      </w:r>
      <w:r w:rsidR="006D50F0">
        <w:rPr>
          <w:rFonts w:ascii="Arial" w:hAnsi="Arial" w:cs="Arial"/>
        </w:rPr>
        <w:t>.</w:t>
      </w:r>
    </w:p>
    <w:p w14:paraId="6E283BB9" w14:textId="48909AF7" w:rsidR="00351FA8" w:rsidRDefault="00351FA8" w:rsidP="00486FBF">
      <w:pPr>
        <w:rPr>
          <w:rFonts w:ascii="Arial" w:hAnsi="Arial" w:cs="Arial"/>
        </w:rPr>
      </w:pPr>
      <w:r>
        <w:rPr>
          <w:rFonts w:ascii="Arial" w:hAnsi="Arial" w:cs="Arial"/>
        </w:rPr>
        <w:t xml:space="preserve"> </w:t>
      </w:r>
    </w:p>
    <w:p w14:paraId="138910FF" w14:textId="7924490C" w:rsidR="00DC486D" w:rsidRPr="00B90BD9" w:rsidRDefault="00DC486D" w:rsidP="00DC486D">
      <w:pPr>
        <w:rPr>
          <w:rFonts w:ascii="Arial" w:hAnsi="Arial" w:cs="Arial"/>
          <w:b/>
          <w:bCs/>
        </w:rPr>
      </w:pPr>
      <w:r w:rsidRPr="00C36D19">
        <w:rPr>
          <w:rFonts w:ascii="Arial" w:hAnsi="Arial" w:cs="Arial"/>
          <w:b/>
          <w:bCs/>
        </w:rPr>
        <w:t xml:space="preserve">Proposal </w:t>
      </w:r>
      <w:r w:rsidR="00101428">
        <w:rPr>
          <w:rFonts w:ascii="Arial" w:hAnsi="Arial" w:cs="Arial"/>
          <w:b/>
          <w:bCs/>
        </w:rPr>
        <w:t>2</w:t>
      </w:r>
      <w:r w:rsidRPr="00C36D19">
        <w:rPr>
          <w:rFonts w:ascii="Arial" w:hAnsi="Arial" w:cs="Arial"/>
          <w:b/>
          <w:bCs/>
        </w:rPr>
        <w:t xml:space="preserve">: For </w:t>
      </w:r>
      <w:proofErr w:type="spellStart"/>
      <w:r w:rsidRPr="00C36D19">
        <w:rPr>
          <w:rFonts w:ascii="Arial" w:hAnsi="Arial" w:cs="Arial"/>
          <w:b/>
          <w:bCs/>
        </w:rPr>
        <w:t>eMTC</w:t>
      </w:r>
      <w:proofErr w:type="spellEnd"/>
      <w:r w:rsidRPr="00C36D19">
        <w:rPr>
          <w:rFonts w:ascii="Arial" w:hAnsi="Arial" w:cs="Arial"/>
          <w:b/>
          <w:bCs/>
        </w:rPr>
        <w:t xml:space="preserve"> NTN, </w:t>
      </w:r>
      <w:r w:rsidR="009B36DF">
        <w:rPr>
          <w:rFonts w:ascii="Arial" w:hAnsi="Arial" w:cs="Arial"/>
          <w:b/>
          <w:bCs/>
        </w:rPr>
        <w:t>clarify that the</w:t>
      </w:r>
      <w:r w:rsidRPr="00C36D19">
        <w:rPr>
          <w:rFonts w:ascii="Arial" w:hAnsi="Arial" w:cs="Arial"/>
          <w:b/>
          <w:bCs/>
        </w:rPr>
        <w:t xml:space="preserve"> </w:t>
      </w:r>
      <w:r w:rsidR="00E06F2B">
        <w:rPr>
          <w:rFonts w:ascii="Arial" w:hAnsi="Arial" w:cs="Arial"/>
          <w:b/>
          <w:bCs/>
        </w:rPr>
        <w:t xml:space="preserve">agreed </w:t>
      </w:r>
      <w:r w:rsidRPr="00C36D19">
        <w:rPr>
          <w:rFonts w:ascii="Arial" w:hAnsi="Arial" w:cs="Arial"/>
          <w:b/>
          <w:bCs/>
        </w:rPr>
        <w:t xml:space="preserve">time-based conditional reconfiguration trigger </w:t>
      </w:r>
      <w:r w:rsidR="009B36DF">
        <w:rPr>
          <w:rFonts w:ascii="Arial" w:hAnsi="Arial" w:cs="Arial"/>
          <w:b/>
          <w:bCs/>
        </w:rPr>
        <w:t xml:space="preserve">is </w:t>
      </w:r>
      <w:r w:rsidRPr="00C36D19">
        <w:rPr>
          <w:rFonts w:ascii="Arial" w:hAnsi="Arial" w:cs="Arial"/>
          <w:b/>
          <w:bCs/>
        </w:rPr>
        <w:t>based on condEventT1 in NR, where the event will be satisfied if conditional handover execution occurs between T1 and T2, where T2 = T1 + a duration (</w:t>
      </w:r>
      <w:proofErr w:type="gramStart"/>
      <w:r w:rsidRPr="00C36D19">
        <w:rPr>
          <w:rFonts w:ascii="Arial" w:hAnsi="Arial" w:cs="Arial"/>
          <w:b/>
          <w:bCs/>
        </w:rPr>
        <w:t>similar to</w:t>
      </w:r>
      <w:proofErr w:type="gramEnd"/>
      <w:r w:rsidRPr="00C36D19">
        <w:rPr>
          <w:rFonts w:ascii="Arial" w:hAnsi="Arial" w:cs="Arial"/>
          <w:b/>
          <w:bCs/>
        </w:rPr>
        <w:t xml:space="preserve"> condEventT1 in NR)</w:t>
      </w:r>
    </w:p>
    <w:p w14:paraId="6189FE03" w14:textId="48BA188A" w:rsidR="00DC486D" w:rsidRDefault="00DC486D" w:rsidP="00486FBF">
      <w:pPr>
        <w:rPr>
          <w:rFonts w:ascii="Arial" w:hAnsi="Arial" w:cs="Arial"/>
        </w:rPr>
      </w:pPr>
    </w:p>
    <w:p w14:paraId="264C4D03" w14:textId="4A19B5B7" w:rsidR="009B36DF" w:rsidRDefault="009B36DF" w:rsidP="00486FBF">
      <w:pPr>
        <w:rPr>
          <w:rFonts w:ascii="Arial" w:hAnsi="Arial" w:cs="Arial"/>
        </w:rPr>
      </w:pPr>
      <w:r>
        <w:rPr>
          <w:rFonts w:ascii="Arial" w:hAnsi="Arial" w:cs="Arial"/>
        </w:rPr>
        <w:t xml:space="preserve">There also remains an FFS whether </w:t>
      </w:r>
      <w:r w:rsidRPr="009B36DF">
        <w:rPr>
          <w:rFonts w:ascii="Arial" w:hAnsi="Arial" w:cs="Arial"/>
        </w:rPr>
        <w:t xml:space="preserve">time and location-based trigger conditions may be configured independently (i.e., without a jointly configured event A4 measurement condition) for </w:t>
      </w:r>
      <w:proofErr w:type="spellStart"/>
      <w:r w:rsidRPr="009B36DF">
        <w:rPr>
          <w:rFonts w:ascii="Arial" w:hAnsi="Arial" w:cs="Arial"/>
        </w:rPr>
        <w:t>eMTC</w:t>
      </w:r>
      <w:proofErr w:type="spellEnd"/>
      <w:r w:rsidRPr="009B36DF">
        <w:rPr>
          <w:rFonts w:ascii="Arial" w:hAnsi="Arial" w:cs="Arial"/>
        </w:rPr>
        <w:t xml:space="preserve"> NTN</w:t>
      </w:r>
      <w:r w:rsidR="001E6B10">
        <w:rPr>
          <w:rFonts w:ascii="Arial" w:hAnsi="Arial" w:cs="Arial"/>
        </w:rPr>
        <w:t>, which was also postponed from RAN2#122</w:t>
      </w:r>
      <w:r w:rsidRPr="009B36DF">
        <w:rPr>
          <w:rFonts w:ascii="Arial" w:hAnsi="Arial" w:cs="Arial"/>
        </w:rPr>
        <w:t>.</w:t>
      </w:r>
    </w:p>
    <w:p w14:paraId="631DC984" w14:textId="77777777" w:rsidR="009B36DF" w:rsidRDefault="009B36DF" w:rsidP="00486FBF">
      <w:pPr>
        <w:rPr>
          <w:rFonts w:ascii="Arial" w:hAnsi="Arial" w:cs="Arial"/>
        </w:rPr>
      </w:pPr>
    </w:p>
    <w:p w14:paraId="35C0587D" w14:textId="77777777" w:rsidR="009B36DF" w:rsidRDefault="009B36DF" w:rsidP="009B36DF">
      <w:pPr>
        <w:rPr>
          <w:rFonts w:ascii="Arial" w:hAnsi="Arial" w:cs="Arial"/>
        </w:rPr>
      </w:pPr>
      <w:r>
        <w:rPr>
          <w:rFonts w:ascii="Arial" w:hAnsi="Arial" w:cs="Arial"/>
        </w:rPr>
        <w:t>For NR, b</w:t>
      </w:r>
      <w:r w:rsidRPr="00AC3CD2">
        <w:rPr>
          <w:rFonts w:ascii="Arial" w:hAnsi="Arial" w:cs="Arial"/>
        </w:rPr>
        <w:t>oth time and location-based trigger conditions must be simultaneously configured with a measurement condition (</w:t>
      </w:r>
      <w:proofErr w:type="gramStart"/>
      <w:r w:rsidRPr="00AC3CD2">
        <w:rPr>
          <w:rFonts w:ascii="Arial" w:hAnsi="Arial" w:cs="Arial"/>
        </w:rPr>
        <w:t>e.g.</w:t>
      </w:r>
      <w:proofErr w:type="gramEnd"/>
      <w:r w:rsidRPr="00AC3CD2">
        <w:rPr>
          <w:rFonts w:ascii="Arial" w:hAnsi="Arial" w:cs="Arial"/>
        </w:rPr>
        <w:t xml:space="preserve"> A4) in Rel-17 NTN.</w:t>
      </w:r>
      <w:r>
        <w:rPr>
          <w:rFonts w:ascii="Arial" w:hAnsi="Arial" w:cs="Arial"/>
        </w:rPr>
        <w:t xml:space="preserve"> For </w:t>
      </w:r>
      <w:proofErr w:type="spellStart"/>
      <w:r>
        <w:rPr>
          <w:rFonts w:ascii="Arial" w:hAnsi="Arial" w:cs="Arial"/>
        </w:rPr>
        <w:t>eMTC</w:t>
      </w:r>
      <w:proofErr w:type="spellEnd"/>
      <w:r>
        <w:rPr>
          <w:rFonts w:ascii="Arial" w:hAnsi="Arial" w:cs="Arial"/>
        </w:rPr>
        <w:t xml:space="preserve">, since power saving is one of the main considerations, we may need to allow only </w:t>
      </w:r>
      <w:proofErr w:type="gramStart"/>
      <w:r>
        <w:rPr>
          <w:rFonts w:ascii="Arial" w:hAnsi="Arial" w:cs="Arial"/>
        </w:rPr>
        <w:t>time based</w:t>
      </w:r>
      <w:proofErr w:type="gramEnd"/>
      <w:r>
        <w:rPr>
          <w:rFonts w:ascii="Arial" w:hAnsi="Arial" w:cs="Arial"/>
        </w:rPr>
        <w:t xml:space="preserve"> triggers to be enabled by the network for some devices or scenarios such that the UE does not necessarily need to fulfil e.g. RSRP threshold if configured with location and/or time based triggers only.</w:t>
      </w:r>
    </w:p>
    <w:p w14:paraId="2F0F8742" w14:textId="77777777" w:rsidR="009B36DF" w:rsidRDefault="009B36DF" w:rsidP="009B36DF">
      <w:pPr>
        <w:rPr>
          <w:rFonts w:ascii="Arial" w:hAnsi="Arial" w:cs="Arial"/>
        </w:rPr>
      </w:pPr>
    </w:p>
    <w:p w14:paraId="01C4AC46" w14:textId="7C41A044" w:rsidR="009B36DF" w:rsidRPr="008E6000" w:rsidRDefault="009B36DF" w:rsidP="009B36DF">
      <w:pPr>
        <w:rPr>
          <w:rFonts w:ascii="Arial" w:hAnsi="Arial" w:cs="Arial"/>
          <w:b/>
          <w:bCs/>
        </w:rPr>
      </w:pPr>
      <w:r w:rsidRPr="008E6000">
        <w:rPr>
          <w:rFonts w:ascii="Arial" w:hAnsi="Arial" w:cs="Arial"/>
          <w:b/>
          <w:bCs/>
        </w:rPr>
        <w:t xml:space="preserve">Proposal </w:t>
      </w:r>
      <w:r w:rsidR="00101428">
        <w:rPr>
          <w:rFonts w:ascii="Arial" w:hAnsi="Arial" w:cs="Arial"/>
          <w:b/>
          <w:bCs/>
        </w:rPr>
        <w:t>3</w:t>
      </w:r>
      <w:r w:rsidRPr="008E6000">
        <w:rPr>
          <w:rFonts w:ascii="Arial" w:hAnsi="Arial" w:cs="Arial"/>
          <w:b/>
          <w:bCs/>
        </w:rPr>
        <w:t>: Time and location</w:t>
      </w:r>
      <w:r>
        <w:rPr>
          <w:rFonts w:ascii="Arial" w:hAnsi="Arial" w:cs="Arial"/>
          <w:b/>
          <w:bCs/>
        </w:rPr>
        <w:t>-</w:t>
      </w:r>
      <w:r w:rsidRPr="008E6000">
        <w:rPr>
          <w:rFonts w:ascii="Arial" w:hAnsi="Arial" w:cs="Arial"/>
          <w:b/>
          <w:bCs/>
        </w:rPr>
        <w:t>based trigger conditions may be configured independently</w:t>
      </w:r>
      <w:r>
        <w:rPr>
          <w:rFonts w:ascii="Arial" w:hAnsi="Arial" w:cs="Arial"/>
          <w:b/>
          <w:bCs/>
        </w:rPr>
        <w:t xml:space="preserve"> (i.e., without a jointly configured measurement condition)</w:t>
      </w:r>
      <w:r w:rsidRPr="008E6000">
        <w:rPr>
          <w:rFonts w:ascii="Arial" w:hAnsi="Arial" w:cs="Arial"/>
          <w:b/>
          <w:bCs/>
        </w:rPr>
        <w:t xml:space="preserve"> for </w:t>
      </w:r>
      <w:proofErr w:type="spellStart"/>
      <w:r w:rsidRPr="008E6000">
        <w:rPr>
          <w:rFonts w:ascii="Arial" w:hAnsi="Arial" w:cs="Arial"/>
          <w:b/>
          <w:bCs/>
        </w:rPr>
        <w:t>eMTC</w:t>
      </w:r>
      <w:proofErr w:type="spellEnd"/>
      <w:r w:rsidRPr="008E6000">
        <w:rPr>
          <w:rFonts w:ascii="Arial" w:hAnsi="Arial" w:cs="Arial"/>
          <w:b/>
          <w:bCs/>
        </w:rPr>
        <w:t xml:space="preserve"> NTN.</w:t>
      </w:r>
    </w:p>
    <w:p w14:paraId="230F7236" w14:textId="77777777" w:rsidR="009B36DF" w:rsidRPr="00F60ED0" w:rsidRDefault="009B36DF" w:rsidP="00486FBF">
      <w:pPr>
        <w:rPr>
          <w:rFonts w:ascii="Arial" w:hAnsi="Arial" w:cs="Arial"/>
        </w:rPr>
      </w:pPr>
    </w:p>
    <w:p w14:paraId="0EC22F6F" w14:textId="18D08413" w:rsidR="008F4846" w:rsidRPr="00AC3CD2" w:rsidRDefault="00B12753" w:rsidP="00EA5314">
      <w:pPr>
        <w:pStyle w:val="Heading1"/>
        <w:numPr>
          <w:ilvl w:val="0"/>
          <w:numId w:val="13"/>
        </w:numPr>
        <w:pBdr>
          <w:top w:val="single" w:sz="12" w:space="5" w:color="auto"/>
        </w:pBdr>
        <w:tabs>
          <w:tab w:val="clear" w:pos="720"/>
          <w:tab w:val="num" w:pos="360"/>
          <w:tab w:val="left" w:pos="426"/>
        </w:tabs>
        <w:ind w:hanging="720"/>
        <w:rPr>
          <w:rFonts w:ascii="Arial" w:hAnsi="Arial" w:cs="Arial"/>
        </w:rPr>
      </w:pPr>
      <w:r w:rsidRPr="00AC3CD2">
        <w:rPr>
          <w:rFonts w:ascii="Arial" w:hAnsi="Arial" w:cs="Arial"/>
        </w:rPr>
        <w:t>Conclusion</w:t>
      </w:r>
    </w:p>
    <w:p w14:paraId="367E2C4B" w14:textId="659DBA89" w:rsidR="00551638" w:rsidRDefault="00551638" w:rsidP="00551638">
      <w:pPr>
        <w:jc w:val="both"/>
        <w:rPr>
          <w:rFonts w:ascii="Arial" w:hAnsi="Arial" w:cs="Arial"/>
          <w:lang w:val="en-US"/>
        </w:rPr>
      </w:pPr>
      <w:r w:rsidRPr="00AC3CD2">
        <w:rPr>
          <w:rFonts w:ascii="Arial" w:hAnsi="Arial" w:cs="Arial"/>
          <w:lang w:val="en-US"/>
        </w:rPr>
        <w:t xml:space="preserve">In this contribution we discuss the potential </w:t>
      </w:r>
      <w:r w:rsidR="003D0123">
        <w:rPr>
          <w:rFonts w:ascii="Arial" w:hAnsi="Arial" w:cs="Arial"/>
          <w:lang w:val="en-US"/>
        </w:rPr>
        <w:t xml:space="preserve">measurements before RLF </w:t>
      </w:r>
      <w:r w:rsidR="00775EE0">
        <w:rPr>
          <w:rFonts w:ascii="Arial" w:hAnsi="Arial" w:cs="Arial"/>
          <w:lang w:val="en-US"/>
        </w:rPr>
        <w:t>for R18 IoT-NTN and have the following proposals</w:t>
      </w:r>
      <w:r w:rsidRPr="00AC3CD2">
        <w:rPr>
          <w:rFonts w:ascii="Arial" w:hAnsi="Arial" w:cs="Arial"/>
          <w:lang w:val="en-US"/>
        </w:rPr>
        <w:t>:</w:t>
      </w:r>
    </w:p>
    <w:p w14:paraId="54608BDE" w14:textId="42BE7FD0" w:rsidR="00775EE0" w:rsidRDefault="00775EE0" w:rsidP="00551638">
      <w:pPr>
        <w:jc w:val="both"/>
        <w:rPr>
          <w:rFonts w:ascii="Arial" w:hAnsi="Arial" w:cs="Arial"/>
          <w:lang w:val="en-US"/>
        </w:rPr>
      </w:pPr>
    </w:p>
    <w:p w14:paraId="213A2B7A" w14:textId="3B05C530" w:rsidR="003321FF" w:rsidRDefault="003321FF" w:rsidP="00551638">
      <w:pPr>
        <w:jc w:val="both"/>
        <w:rPr>
          <w:rFonts w:ascii="Arial" w:eastAsia="Malgun Gothic" w:hAnsi="Arial" w:cs="Arial"/>
          <w:u w:val="single"/>
          <w:lang w:eastAsia="en-GB"/>
        </w:rPr>
      </w:pPr>
      <w:r w:rsidRPr="00674E02">
        <w:rPr>
          <w:rFonts w:ascii="Arial" w:eastAsia="Malgun Gothic" w:hAnsi="Arial" w:cs="Arial"/>
          <w:u w:val="single"/>
          <w:lang w:eastAsia="en-GB"/>
        </w:rPr>
        <w:t xml:space="preserve">For </w:t>
      </w:r>
      <w:r w:rsidR="001152DB">
        <w:rPr>
          <w:rFonts w:ascii="Arial" w:eastAsia="Malgun Gothic" w:hAnsi="Arial" w:cs="Arial"/>
          <w:u w:val="single"/>
          <w:lang w:eastAsia="en-GB"/>
        </w:rPr>
        <w:t>RLF enhancement</w:t>
      </w:r>
      <w:r w:rsidRPr="00674E02">
        <w:rPr>
          <w:rFonts w:ascii="Arial" w:eastAsia="Malgun Gothic" w:hAnsi="Arial" w:cs="Arial"/>
          <w:u w:val="single"/>
          <w:lang w:eastAsia="en-GB"/>
        </w:rPr>
        <w:t>:</w:t>
      </w:r>
    </w:p>
    <w:p w14:paraId="3551A7C0" w14:textId="77777777" w:rsidR="003321FF" w:rsidRPr="00FD04F3" w:rsidRDefault="003321FF" w:rsidP="00551638">
      <w:pPr>
        <w:jc w:val="both"/>
        <w:rPr>
          <w:rFonts w:ascii="Arial" w:hAnsi="Arial" w:cs="Arial"/>
          <w:u w:val="single"/>
          <w:lang w:val="en-US"/>
        </w:rPr>
      </w:pPr>
    </w:p>
    <w:p w14:paraId="5A1C5504" w14:textId="77777777" w:rsidR="00101428" w:rsidRPr="00FD04F3" w:rsidRDefault="00101428" w:rsidP="00101428">
      <w:pPr>
        <w:rPr>
          <w:rFonts w:ascii="Arial" w:hAnsi="Arial" w:cs="Arial"/>
          <w:b/>
          <w:color w:val="FF0000"/>
          <w:u w:val="single"/>
        </w:rPr>
      </w:pPr>
      <w:r w:rsidRPr="00FD04F3">
        <w:rPr>
          <w:rFonts w:ascii="Arial" w:hAnsi="Arial" w:cs="Arial"/>
          <w:b/>
        </w:rPr>
        <w:t>Proposal 1: For discontinuous coverage:</w:t>
      </w:r>
      <w:r w:rsidRPr="00FD04F3">
        <w:rPr>
          <w:rFonts w:ascii="Arial" w:hAnsi="Arial" w:cs="Arial"/>
          <w:b/>
          <w:u w:val="single"/>
        </w:rPr>
        <w:t xml:space="preserve"> </w:t>
      </w:r>
      <w:r w:rsidRPr="00FD04F3">
        <w:rPr>
          <w:rFonts w:ascii="Arial" w:hAnsi="Arial" w:cs="Arial"/>
          <w:b/>
        </w:rPr>
        <w:t>If the serving cell t-service expires, stop T310 (if running), and start T311 (</w:t>
      </w:r>
      <w:proofErr w:type="gramStart"/>
      <w:r w:rsidRPr="00FD04F3">
        <w:rPr>
          <w:rFonts w:ascii="Arial" w:hAnsi="Arial" w:cs="Arial"/>
          <w:b/>
        </w:rPr>
        <w:t>i.e.</w:t>
      </w:r>
      <w:proofErr w:type="gramEnd"/>
      <w:r w:rsidRPr="00FD04F3">
        <w:rPr>
          <w:rFonts w:ascii="Arial" w:hAnsi="Arial" w:cs="Arial"/>
          <w:b/>
        </w:rPr>
        <w:t xml:space="preserve"> perform cell search and re-establishment without attempting to recover on the current cell for the duration of T310) upon t-</w:t>
      </w:r>
      <w:proofErr w:type="spellStart"/>
      <w:r w:rsidRPr="00FD04F3">
        <w:rPr>
          <w:rFonts w:ascii="Arial" w:hAnsi="Arial" w:cs="Arial"/>
          <w:b/>
        </w:rPr>
        <w:t>ServiceStart</w:t>
      </w:r>
      <w:proofErr w:type="spellEnd"/>
      <w:r w:rsidRPr="00FD04F3">
        <w:rPr>
          <w:rFonts w:ascii="Arial" w:hAnsi="Arial" w:cs="Arial"/>
          <w:b/>
        </w:rPr>
        <w:t xml:space="preserve"> of the upcoming cell.</w:t>
      </w:r>
    </w:p>
    <w:p w14:paraId="26DE3C38" w14:textId="77777777" w:rsidR="00101428" w:rsidRDefault="00101428" w:rsidP="000F02CA">
      <w:pPr>
        <w:pStyle w:val="B4"/>
        <w:ind w:left="0" w:firstLine="0"/>
        <w:rPr>
          <w:rFonts w:ascii="Arial" w:hAnsi="Arial" w:cs="Arial"/>
          <w:u w:val="single"/>
        </w:rPr>
      </w:pPr>
    </w:p>
    <w:p w14:paraId="56815A86" w14:textId="40736B0A" w:rsidR="005949BF" w:rsidRPr="00C36D19" w:rsidRDefault="005949BF" w:rsidP="000F02CA">
      <w:pPr>
        <w:pStyle w:val="B4"/>
        <w:ind w:left="0" w:firstLine="0"/>
        <w:rPr>
          <w:rFonts w:ascii="Arial" w:hAnsi="Arial" w:cs="Arial"/>
          <w:u w:val="single"/>
        </w:rPr>
      </w:pPr>
      <w:r w:rsidRPr="00C36D19">
        <w:rPr>
          <w:rFonts w:ascii="Arial" w:hAnsi="Arial" w:cs="Arial"/>
          <w:u w:val="single"/>
        </w:rPr>
        <w:t>For conditional reconfiguration:</w:t>
      </w:r>
    </w:p>
    <w:p w14:paraId="4BB23201" w14:textId="7307E768" w:rsidR="005949BF" w:rsidRPr="00B90BD9" w:rsidRDefault="005949BF" w:rsidP="005949BF">
      <w:pPr>
        <w:rPr>
          <w:rFonts w:ascii="Arial" w:hAnsi="Arial" w:cs="Arial"/>
          <w:b/>
          <w:bCs/>
        </w:rPr>
      </w:pPr>
      <w:r w:rsidRPr="00795E51">
        <w:rPr>
          <w:rFonts w:ascii="Arial" w:hAnsi="Arial" w:cs="Arial"/>
          <w:b/>
          <w:bCs/>
        </w:rPr>
        <w:t xml:space="preserve">Proposal </w:t>
      </w:r>
      <w:r w:rsidR="00101428">
        <w:rPr>
          <w:rFonts w:ascii="Arial" w:hAnsi="Arial" w:cs="Arial"/>
          <w:b/>
          <w:bCs/>
        </w:rPr>
        <w:t>2</w:t>
      </w:r>
      <w:r w:rsidRPr="00795E51">
        <w:rPr>
          <w:rFonts w:ascii="Arial" w:hAnsi="Arial" w:cs="Arial"/>
          <w:b/>
          <w:bCs/>
        </w:rPr>
        <w:t xml:space="preserve">: For </w:t>
      </w:r>
      <w:proofErr w:type="spellStart"/>
      <w:r w:rsidRPr="00795E51">
        <w:rPr>
          <w:rFonts w:ascii="Arial" w:hAnsi="Arial" w:cs="Arial"/>
          <w:b/>
          <w:bCs/>
        </w:rPr>
        <w:t>eMTC</w:t>
      </w:r>
      <w:proofErr w:type="spellEnd"/>
      <w:r w:rsidRPr="00795E51">
        <w:rPr>
          <w:rFonts w:ascii="Arial" w:hAnsi="Arial" w:cs="Arial"/>
          <w:b/>
          <w:bCs/>
        </w:rPr>
        <w:t xml:space="preserve"> NTN, </w:t>
      </w:r>
      <w:r>
        <w:rPr>
          <w:rFonts w:ascii="Arial" w:hAnsi="Arial" w:cs="Arial"/>
          <w:b/>
          <w:bCs/>
        </w:rPr>
        <w:t>clarify that the</w:t>
      </w:r>
      <w:r w:rsidRPr="00795E51">
        <w:rPr>
          <w:rFonts w:ascii="Arial" w:hAnsi="Arial" w:cs="Arial"/>
          <w:b/>
          <w:bCs/>
        </w:rPr>
        <w:t xml:space="preserve"> </w:t>
      </w:r>
      <w:r>
        <w:rPr>
          <w:rFonts w:ascii="Arial" w:hAnsi="Arial" w:cs="Arial"/>
          <w:b/>
          <w:bCs/>
        </w:rPr>
        <w:t xml:space="preserve">agreed </w:t>
      </w:r>
      <w:r w:rsidRPr="00795E51">
        <w:rPr>
          <w:rFonts w:ascii="Arial" w:hAnsi="Arial" w:cs="Arial"/>
          <w:b/>
          <w:bCs/>
        </w:rPr>
        <w:t xml:space="preserve">time-based conditional reconfiguration trigger </w:t>
      </w:r>
      <w:r>
        <w:rPr>
          <w:rFonts w:ascii="Arial" w:hAnsi="Arial" w:cs="Arial"/>
          <w:b/>
          <w:bCs/>
        </w:rPr>
        <w:t xml:space="preserve">is </w:t>
      </w:r>
      <w:r w:rsidRPr="00795E51">
        <w:rPr>
          <w:rFonts w:ascii="Arial" w:hAnsi="Arial" w:cs="Arial"/>
          <w:b/>
          <w:bCs/>
        </w:rPr>
        <w:t>based on condEventT1 in NR, where the event will be satisfied if conditional handover execution occurs between T1 and T2, where T2 = T1 + a duration (</w:t>
      </w:r>
      <w:proofErr w:type="gramStart"/>
      <w:r w:rsidRPr="00795E51">
        <w:rPr>
          <w:rFonts w:ascii="Arial" w:hAnsi="Arial" w:cs="Arial"/>
          <w:b/>
          <w:bCs/>
        </w:rPr>
        <w:t>similar to</w:t>
      </w:r>
      <w:proofErr w:type="gramEnd"/>
      <w:r w:rsidRPr="00795E51">
        <w:rPr>
          <w:rFonts w:ascii="Arial" w:hAnsi="Arial" w:cs="Arial"/>
          <w:b/>
          <w:bCs/>
        </w:rPr>
        <w:t xml:space="preserve"> condEventT1 in NR)</w:t>
      </w:r>
    </w:p>
    <w:p w14:paraId="7CD933BF" w14:textId="77777777" w:rsidR="005949BF" w:rsidRDefault="005949BF" w:rsidP="005949BF">
      <w:pPr>
        <w:rPr>
          <w:rFonts w:ascii="Arial" w:hAnsi="Arial" w:cs="Arial"/>
        </w:rPr>
      </w:pPr>
    </w:p>
    <w:p w14:paraId="76C20203" w14:textId="33832915" w:rsidR="005949BF" w:rsidRPr="008E6000" w:rsidRDefault="005949BF" w:rsidP="005949BF">
      <w:pPr>
        <w:rPr>
          <w:rFonts w:ascii="Arial" w:hAnsi="Arial" w:cs="Arial"/>
          <w:b/>
          <w:bCs/>
        </w:rPr>
      </w:pPr>
      <w:r w:rsidRPr="008E6000">
        <w:rPr>
          <w:rFonts w:ascii="Arial" w:hAnsi="Arial" w:cs="Arial"/>
          <w:b/>
          <w:bCs/>
        </w:rPr>
        <w:t xml:space="preserve">Proposal </w:t>
      </w:r>
      <w:r w:rsidR="00101428">
        <w:rPr>
          <w:rFonts w:ascii="Arial" w:hAnsi="Arial" w:cs="Arial"/>
          <w:b/>
          <w:bCs/>
        </w:rPr>
        <w:t>3</w:t>
      </w:r>
      <w:r w:rsidRPr="008E6000">
        <w:rPr>
          <w:rFonts w:ascii="Arial" w:hAnsi="Arial" w:cs="Arial"/>
          <w:b/>
          <w:bCs/>
        </w:rPr>
        <w:t>: Time and location</w:t>
      </w:r>
      <w:r>
        <w:rPr>
          <w:rFonts w:ascii="Arial" w:hAnsi="Arial" w:cs="Arial"/>
          <w:b/>
          <w:bCs/>
        </w:rPr>
        <w:t>-</w:t>
      </w:r>
      <w:r w:rsidRPr="008E6000">
        <w:rPr>
          <w:rFonts w:ascii="Arial" w:hAnsi="Arial" w:cs="Arial"/>
          <w:b/>
          <w:bCs/>
        </w:rPr>
        <w:t>based trigger conditions may be configured independently</w:t>
      </w:r>
      <w:r>
        <w:rPr>
          <w:rFonts w:ascii="Arial" w:hAnsi="Arial" w:cs="Arial"/>
          <w:b/>
          <w:bCs/>
        </w:rPr>
        <w:t xml:space="preserve"> (i.e., without a jointly configured measurement condition)</w:t>
      </w:r>
      <w:r w:rsidRPr="008E6000">
        <w:rPr>
          <w:rFonts w:ascii="Arial" w:hAnsi="Arial" w:cs="Arial"/>
          <w:b/>
          <w:bCs/>
        </w:rPr>
        <w:t xml:space="preserve"> for </w:t>
      </w:r>
      <w:proofErr w:type="spellStart"/>
      <w:r w:rsidRPr="008E6000">
        <w:rPr>
          <w:rFonts w:ascii="Arial" w:hAnsi="Arial" w:cs="Arial"/>
          <w:b/>
          <w:bCs/>
        </w:rPr>
        <w:t>eMTC</w:t>
      </w:r>
      <w:proofErr w:type="spellEnd"/>
      <w:r w:rsidRPr="008E6000">
        <w:rPr>
          <w:rFonts w:ascii="Arial" w:hAnsi="Arial" w:cs="Arial"/>
          <w:b/>
          <w:bCs/>
        </w:rPr>
        <w:t xml:space="preserve"> NTN.</w:t>
      </w:r>
    </w:p>
    <w:p w14:paraId="743D3D45" w14:textId="77777777" w:rsidR="005949BF" w:rsidRPr="00AC3CD2" w:rsidRDefault="005949BF" w:rsidP="000F02CA">
      <w:pPr>
        <w:pStyle w:val="B4"/>
        <w:ind w:left="0" w:firstLine="0"/>
        <w:rPr>
          <w:rFonts w:ascii="Arial" w:hAnsi="Arial" w:cs="Arial"/>
        </w:rPr>
      </w:pPr>
    </w:p>
    <w:p w14:paraId="43E428F1" w14:textId="77777777" w:rsidR="00E06B61" w:rsidRPr="00AC3CD2" w:rsidRDefault="00E06B61" w:rsidP="00EA5314">
      <w:pPr>
        <w:pStyle w:val="Heading1"/>
        <w:numPr>
          <w:ilvl w:val="0"/>
          <w:numId w:val="13"/>
        </w:numPr>
        <w:pBdr>
          <w:top w:val="single" w:sz="12" w:space="5" w:color="auto"/>
        </w:pBdr>
        <w:tabs>
          <w:tab w:val="clear" w:pos="720"/>
          <w:tab w:val="num" w:pos="360"/>
          <w:tab w:val="left" w:pos="426"/>
        </w:tabs>
        <w:ind w:hanging="720"/>
        <w:rPr>
          <w:rFonts w:ascii="Arial" w:hAnsi="Arial" w:cs="Arial"/>
        </w:rPr>
      </w:pPr>
      <w:r w:rsidRPr="00AC3CD2">
        <w:rPr>
          <w:rFonts w:ascii="Arial" w:hAnsi="Arial" w:cs="Arial"/>
        </w:rPr>
        <w:t>References</w:t>
      </w:r>
    </w:p>
    <w:bookmarkStart w:id="0" w:name="_Ref110867306"/>
    <w:p w14:paraId="3B018D6C" w14:textId="00B75619" w:rsidR="00D205BC" w:rsidRPr="00AA311D" w:rsidRDefault="005924EE" w:rsidP="00D205BC">
      <w:pPr>
        <w:pStyle w:val="Reference"/>
        <w:numPr>
          <w:ilvl w:val="0"/>
          <w:numId w:val="12"/>
        </w:numPr>
        <w:overflowPunct w:val="0"/>
        <w:autoSpaceDE w:val="0"/>
        <w:autoSpaceDN w:val="0"/>
        <w:adjustRightInd w:val="0"/>
        <w:jc w:val="both"/>
        <w:textAlignment w:val="baseline"/>
        <w:rPr>
          <w:rFonts w:ascii="Arial" w:eastAsia="Arial Unicode MS" w:hAnsi="Arial" w:cs="Arial"/>
        </w:rPr>
      </w:pPr>
      <w:r>
        <w:rPr>
          <w:rFonts w:ascii="Arial" w:hAnsi="Arial" w:cs="Arial"/>
        </w:rPr>
        <w:fldChar w:fldCharType="begin"/>
      </w:r>
      <w:r>
        <w:rPr>
          <w:rFonts w:ascii="Arial" w:hAnsi="Arial" w:cs="Arial"/>
        </w:rPr>
        <w:instrText>HYPERLINK "https://www.3gpp.org/ftp/TSG_RAN/TSG_RAN/TSGR_98e/Docs/RP-223519.zip"</w:instrText>
      </w:r>
      <w:r>
        <w:rPr>
          <w:rFonts w:ascii="Arial" w:hAnsi="Arial" w:cs="Arial"/>
        </w:rPr>
      </w:r>
      <w:r>
        <w:rPr>
          <w:rFonts w:ascii="Arial" w:hAnsi="Arial" w:cs="Arial"/>
        </w:rPr>
        <w:fldChar w:fldCharType="separate"/>
      </w:r>
      <w:r>
        <w:rPr>
          <w:rStyle w:val="Hyperlink"/>
          <w:rFonts w:ascii="Arial" w:hAnsi="Arial" w:cs="Arial"/>
        </w:rPr>
        <w:t>RP-223519</w:t>
      </w:r>
      <w:r>
        <w:rPr>
          <w:rFonts w:ascii="Arial" w:hAnsi="Arial" w:cs="Arial"/>
        </w:rPr>
        <w:fldChar w:fldCharType="end"/>
      </w:r>
      <w:r w:rsidR="003F50DD" w:rsidRPr="00AC3CD2">
        <w:rPr>
          <w:rFonts w:ascii="Arial" w:hAnsi="Arial" w:cs="Arial"/>
        </w:rPr>
        <w:t xml:space="preserve">,  </w:t>
      </w:r>
      <w:r w:rsidR="00A35B0F" w:rsidRPr="00AC3CD2">
        <w:rPr>
          <w:rFonts w:ascii="Arial" w:hAnsi="Arial" w:cs="Arial"/>
        </w:rPr>
        <w:t>“</w:t>
      </w:r>
      <w:r w:rsidR="003D5E8E" w:rsidRPr="00AC3CD2">
        <w:rPr>
          <w:rFonts w:ascii="Arial" w:hAnsi="Arial" w:cs="Arial"/>
        </w:rPr>
        <w:t>Revised WID on IoT NTN enhancements</w:t>
      </w:r>
      <w:r w:rsidR="00A35B0F" w:rsidRPr="00AC3CD2">
        <w:rPr>
          <w:rFonts w:ascii="Arial" w:hAnsi="Arial" w:cs="Arial"/>
        </w:rPr>
        <w:t>”</w:t>
      </w:r>
      <w:bookmarkEnd w:id="0"/>
    </w:p>
    <w:bookmarkStart w:id="1" w:name="_Ref142395439"/>
    <w:bookmarkStart w:id="2" w:name="_Ref118350373"/>
    <w:p w14:paraId="731ACF15" w14:textId="2E0F654F" w:rsidR="00F4087D" w:rsidRDefault="00F4087D" w:rsidP="00F4087D">
      <w:pPr>
        <w:pStyle w:val="Doc-text2"/>
        <w:numPr>
          <w:ilvl w:val="0"/>
          <w:numId w:val="12"/>
        </w:numPr>
      </w:pPr>
      <w:r>
        <w:fldChar w:fldCharType="begin"/>
      </w:r>
      <w:r>
        <w:instrText>HYPERLINK "https://www.3gpp.org/ftp/tsg_ran/WG2_RL2/TSGR2_122/Docs/R2-2306665.zip"</w:instrText>
      </w:r>
      <w:r>
        <w:fldChar w:fldCharType="separate"/>
      </w:r>
      <w:r w:rsidRPr="00E63667">
        <w:rPr>
          <w:rStyle w:val="Hyperlink"/>
        </w:rPr>
        <w:t>R2-2306665</w:t>
      </w:r>
      <w:r>
        <w:rPr>
          <w:rStyle w:val="Hyperlink"/>
        </w:rPr>
        <w:fldChar w:fldCharType="end"/>
      </w:r>
      <w:r>
        <w:tab/>
        <w:t>[offline-113</w:t>
      </w:r>
      <w:r w:rsidRPr="007418EC">
        <w:t xml:space="preserve">] </w:t>
      </w:r>
      <w:r>
        <w:t>Measurements before RLF</w:t>
      </w:r>
      <w:r>
        <w:tab/>
        <w:t>Interdigital</w:t>
      </w:r>
      <w:bookmarkEnd w:id="1"/>
    </w:p>
    <w:bookmarkStart w:id="3" w:name="_Ref142395447"/>
    <w:p w14:paraId="29916AD7" w14:textId="1C74181B" w:rsidR="00F4087D" w:rsidRDefault="00F4087D" w:rsidP="00F4087D">
      <w:pPr>
        <w:pStyle w:val="Doc-text2"/>
        <w:numPr>
          <w:ilvl w:val="0"/>
          <w:numId w:val="12"/>
        </w:numPr>
      </w:pPr>
      <w:r>
        <w:fldChar w:fldCharType="begin"/>
      </w:r>
      <w:r>
        <w:instrText>HYPERLINK "https://www.3gpp.org/ftp/tsg_ran/WG2_RL2/TSGR2_122/Docs/R2-2306486.zip"</w:instrText>
      </w:r>
      <w:r>
        <w:fldChar w:fldCharType="separate"/>
      </w:r>
      <w:r w:rsidRPr="00F66D1A">
        <w:rPr>
          <w:rStyle w:val="Hyperlink"/>
        </w:rPr>
        <w:t>R2-2306486</w:t>
      </w:r>
      <w:r>
        <w:rPr>
          <w:rStyle w:val="Hyperlink"/>
        </w:rPr>
        <w:fldChar w:fldCharType="end"/>
      </w:r>
      <w:r>
        <w:tab/>
        <w:t>On IoT NTN CHO and other mobility enhancements</w:t>
      </w:r>
      <w:r>
        <w:tab/>
        <w:t>Samsung</w:t>
      </w:r>
      <w:bookmarkEnd w:id="3"/>
    </w:p>
    <w:p w14:paraId="7E6776DB" w14:textId="29F057E6" w:rsidR="001152DB" w:rsidRDefault="001152DB" w:rsidP="00F4087D">
      <w:pPr>
        <w:pStyle w:val="Doc-text2"/>
        <w:numPr>
          <w:ilvl w:val="0"/>
          <w:numId w:val="12"/>
        </w:numPr>
      </w:pPr>
      <w:bookmarkStart w:id="4" w:name="_Ref142410517"/>
      <w:r w:rsidRPr="001152DB">
        <w:t>Report of [Post122][</w:t>
      </w:r>
      <w:proofErr w:type="gramStart"/>
      <w:r w:rsidRPr="001152DB">
        <w:t>112][</w:t>
      </w:r>
      <w:proofErr w:type="gramEnd"/>
      <w:r w:rsidRPr="001152DB">
        <w:t xml:space="preserve">IoT NTN </w:t>
      </w:r>
      <w:proofErr w:type="spellStart"/>
      <w:r w:rsidRPr="001152DB">
        <w:t>Enh</w:t>
      </w:r>
      <w:proofErr w:type="spellEnd"/>
      <w:r w:rsidRPr="001152DB">
        <w:t>] Mobility enhancements</w:t>
      </w:r>
      <w:r>
        <w:t xml:space="preserve">, </w:t>
      </w:r>
      <w:proofErr w:type="spellStart"/>
      <w:r>
        <w:t>Mediatek</w:t>
      </w:r>
      <w:bookmarkEnd w:id="4"/>
      <w:proofErr w:type="spellEnd"/>
    </w:p>
    <w:bookmarkEnd w:id="2"/>
    <w:p w14:paraId="3F35E67D" w14:textId="77777777" w:rsidR="00E06B61" w:rsidRPr="00AC3CD2" w:rsidRDefault="00E06B61" w:rsidP="00E06B61">
      <w:pPr>
        <w:pStyle w:val="Reference"/>
        <w:numPr>
          <w:ilvl w:val="0"/>
          <w:numId w:val="0"/>
        </w:numPr>
        <w:overflowPunct w:val="0"/>
        <w:autoSpaceDE w:val="0"/>
        <w:autoSpaceDN w:val="0"/>
        <w:adjustRightInd w:val="0"/>
        <w:ind w:left="567" w:hanging="567"/>
        <w:jc w:val="both"/>
        <w:textAlignment w:val="baseline"/>
        <w:rPr>
          <w:rFonts w:ascii="Arial" w:hAnsi="Arial" w:cs="Arial"/>
        </w:rPr>
      </w:pPr>
    </w:p>
    <w:p w14:paraId="6F633548" w14:textId="77777777" w:rsidR="00886B68" w:rsidRPr="00AC3CD2" w:rsidRDefault="00886B68" w:rsidP="00E06B61">
      <w:pPr>
        <w:rPr>
          <w:rFonts w:ascii="Arial" w:hAnsi="Arial" w:cs="Arial"/>
        </w:rPr>
      </w:pPr>
    </w:p>
    <w:sectPr w:rsidR="00886B68" w:rsidRPr="00AC3CD2" w:rsidSect="00D55085">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E881B58"/>
    <w:multiLevelType w:val="hybridMultilevel"/>
    <w:tmpl w:val="85EE7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634CBD"/>
    <w:multiLevelType w:val="hybridMultilevel"/>
    <w:tmpl w:val="D02010D8"/>
    <w:lvl w:ilvl="0" w:tplc="08090019">
      <w:start w:val="1"/>
      <w:numFmt w:val="lowerLetter"/>
      <w:lvlText w:val="%1."/>
      <w:lvlJc w:val="left"/>
      <w:pPr>
        <w:ind w:left="1440" w:hanging="360"/>
      </w:pPr>
      <w:rPr>
        <w:rFonts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CC009C"/>
    <w:multiLevelType w:val="hybridMultilevel"/>
    <w:tmpl w:val="1B6E95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50A652C"/>
    <w:multiLevelType w:val="hybridMultilevel"/>
    <w:tmpl w:val="D02010D8"/>
    <w:lvl w:ilvl="0" w:tplc="FFFFFFFF">
      <w:start w:val="1"/>
      <w:numFmt w:val="lowerLetter"/>
      <w:lvlText w:val="%1."/>
      <w:lvlJc w:val="left"/>
      <w:pPr>
        <w:ind w:left="1440" w:hanging="360"/>
      </w:pPr>
      <w:rPr>
        <w:rFonts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EAF6348"/>
    <w:multiLevelType w:val="hybridMultilevel"/>
    <w:tmpl w:val="ED9CF87A"/>
    <w:lvl w:ilvl="0" w:tplc="08090001">
      <w:start w:val="1"/>
      <w:numFmt w:val="bullet"/>
      <w:lvlText w:val=""/>
      <w:lvlJc w:val="left"/>
      <w:pPr>
        <w:tabs>
          <w:tab w:val="num" w:pos="720"/>
        </w:tabs>
        <w:ind w:left="720" w:hanging="360"/>
      </w:pPr>
      <w:rPr>
        <w:rFonts w:ascii="Symbol" w:hAnsi="Symbol" w:hint="default"/>
        <w:color w:val="auto"/>
      </w:rPr>
    </w:lvl>
    <w:lvl w:ilvl="1" w:tplc="FFFFFFFF">
      <w:start w:val="1"/>
      <w:numFmt w:val="bullet"/>
      <w:lvlText w:val="o"/>
      <w:lvlJc w:val="left"/>
      <w:pPr>
        <w:tabs>
          <w:tab w:val="num" w:pos="541"/>
        </w:tabs>
        <w:ind w:left="541" w:hanging="360"/>
      </w:pPr>
      <w:rPr>
        <w:rFonts w:ascii="Courier New" w:hAnsi="Courier New" w:cs="Courier New" w:hint="default"/>
      </w:rPr>
    </w:lvl>
    <w:lvl w:ilvl="2" w:tplc="FFFFFFFF">
      <w:start w:val="1"/>
      <w:numFmt w:val="bullet"/>
      <w:lvlText w:val=""/>
      <w:lvlJc w:val="left"/>
      <w:pPr>
        <w:tabs>
          <w:tab w:val="num" w:pos="1261"/>
        </w:tabs>
        <w:ind w:left="1261" w:hanging="360"/>
      </w:pPr>
      <w:rPr>
        <w:rFonts w:ascii="Wingdings" w:hAnsi="Wingdings" w:hint="default"/>
      </w:rPr>
    </w:lvl>
    <w:lvl w:ilvl="3" w:tplc="FFFFFFFF">
      <w:start w:val="1"/>
      <w:numFmt w:val="bullet"/>
      <w:lvlText w:val=""/>
      <w:lvlJc w:val="left"/>
      <w:pPr>
        <w:tabs>
          <w:tab w:val="num" w:pos="1981"/>
        </w:tabs>
        <w:ind w:left="1981" w:hanging="360"/>
      </w:pPr>
      <w:rPr>
        <w:rFonts w:ascii="Symbol" w:hAnsi="Symbol" w:hint="default"/>
      </w:rPr>
    </w:lvl>
    <w:lvl w:ilvl="4" w:tplc="FFFFFFFF">
      <w:start w:val="1"/>
      <w:numFmt w:val="bullet"/>
      <w:lvlText w:val="o"/>
      <w:lvlJc w:val="left"/>
      <w:pPr>
        <w:tabs>
          <w:tab w:val="num" w:pos="2701"/>
        </w:tabs>
        <w:ind w:left="2701" w:hanging="360"/>
      </w:pPr>
      <w:rPr>
        <w:rFonts w:ascii="Courier New" w:hAnsi="Courier New" w:cs="Courier New" w:hint="default"/>
      </w:rPr>
    </w:lvl>
    <w:lvl w:ilvl="5" w:tplc="FFFFFFFF">
      <w:start w:val="1"/>
      <w:numFmt w:val="bullet"/>
      <w:lvlText w:val=""/>
      <w:lvlJc w:val="left"/>
      <w:pPr>
        <w:tabs>
          <w:tab w:val="num" w:pos="3421"/>
        </w:tabs>
        <w:ind w:left="3421" w:hanging="360"/>
      </w:pPr>
      <w:rPr>
        <w:rFonts w:ascii="Wingdings" w:hAnsi="Wingdings" w:hint="default"/>
      </w:rPr>
    </w:lvl>
    <w:lvl w:ilvl="6" w:tplc="FFFFFFFF">
      <w:start w:val="1"/>
      <w:numFmt w:val="bullet"/>
      <w:lvlText w:val=""/>
      <w:lvlJc w:val="left"/>
      <w:pPr>
        <w:tabs>
          <w:tab w:val="num" w:pos="4141"/>
        </w:tabs>
        <w:ind w:left="4141" w:hanging="360"/>
      </w:pPr>
      <w:rPr>
        <w:rFonts w:ascii="Symbol" w:hAnsi="Symbol" w:hint="default"/>
      </w:rPr>
    </w:lvl>
    <w:lvl w:ilvl="7" w:tplc="FFFFFFFF">
      <w:start w:val="1"/>
      <w:numFmt w:val="bullet"/>
      <w:lvlText w:val="o"/>
      <w:lvlJc w:val="left"/>
      <w:pPr>
        <w:tabs>
          <w:tab w:val="num" w:pos="4861"/>
        </w:tabs>
        <w:ind w:left="4861" w:hanging="360"/>
      </w:pPr>
      <w:rPr>
        <w:rFonts w:ascii="Courier New" w:hAnsi="Courier New" w:cs="Courier New" w:hint="default"/>
      </w:rPr>
    </w:lvl>
    <w:lvl w:ilvl="8" w:tplc="FFFFFFFF">
      <w:start w:val="1"/>
      <w:numFmt w:val="bullet"/>
      <w:lvlText w:val=""/>
      <w:lvlJc w:val="left"/>
      <w:pPr>
        <w:tabs>
          <w:tab w:val="num" w:pos="5581"/>
        </w:tabs>
        <w:ind w:left="5581" w:hanging="360"/>
      </w:pPr>
      <w:rPr>
        <w:rFonts w:ascii="Wingdings" w:hAnsi="Wingdings" w:hint="default"/>
      </w:rPr>
    </w:lvl>
  </w:abstractNum>
  <w:abstractNum w:abstractNumId="10" w15:restartNumberingAfterBreak="0">
    <w:nsid w:val="203663C6"/>
    <w:multiLevelType w:val="multilevel"/>
    <w:tmpl w:val="AE9291A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620151F"/>
    <w:multiLevelType w:val="multilevel"/>
    <w:tmpl w:val="3A66C4D0"/>
    <w:lvl w:ilvl="0">
      <w:start w:val="4"/>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36FA4B4A"/>
    <w:multiLevelType w:val="hybridMultilevel"/>
    <w:tmpl w:val="4FB2C62C"/>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4458DF"/>
    <w:multiLevelType w:val="hybridMultilevel"/>
    <w:tmpl w:val="4CD614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AD481A"/>
    <w:multiLevelType w:val="multilevel"/>
    <w:tmpl w:val="3CA613C8"/>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04E2906"/>
    <w:multiLevelType w:val="hybridMultilevel"/>
    <w:tmpl w:val="1F9C12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34570C8"/>
    <w:multiLevelType w:val="hybridMultilevel"/>
    <w:tmpl w:val="0228FF86"/>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164952"/>
    <w:multiLevelType w:val="hybridMultilevel"/>
    <w:tmpl w:val="164EF2A0"/>
    <w:lvl w:ilvl="0" w:tplc="16EA684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917BB3"/>
    <w:multiLevelType w:val="hybridMultilevel"/>
    <w:tmpl w:val="87E4C3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61371E0"/>
    <w:multiLevelType w:val="hybridMultilevel"/>
    <w:tmpl w:val="BACE1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9F27438"/>
    <w:multiLevelType w:val="hybridMultilevel"/>
    <w:tmpl w:val="CEECF244"/>
    <w:lvl w:ilvl="0" w:tplc="B680D0C4">
      <w:start w:val="1"/>
      <w:numFmt w:val="bullet"/>
      <w:lvlText w:val="o"/>
      <w:lvlJc w:val="left"/>
      <w:pPr>
        <w:tabs>
          <w:tab w:val="num" w:pos="720"/>
        </w:tabs>
        <w:ind w:left="720" w:hanging="360"/>
      </w:pPr>
      <w:rPr>
        <w:rFonts w:ascii="Courier New" w:hAnsi="Courier New" w:hint="default"/>
      </w:rPr>
    </w:lvl>
    <w:lvl w:ilvl="1" w:tplc="6E10D66A" w:tentative="1">
      <w:start w:val="1"/>
      <w:numFmt w:val="bullet"/>
      <w:lvlText w:val="o"/>
      <w:lvlJc w:val="left"/>
      <w:pPr>
        <w:tabs>
          <w:tab w:val="num" w:pos="1440"/>
        </w:tabs>
        <w:ind w:left="1440" w:hanging="360"/>
      </w:pPr>
      <w:rPr>
        <w:rFonts w:ascii="Courier New" w:hAnsi="Courier New" w:hint="default"/>
      </w:rPr>
    </w:lvl>
    <w:lvl w:ilvl="2" w:tplc="2384E386">
      <w:start w:val="1"/>
      <w:numFmt w:val="bullet"/>
      <w:lvlText w:val="o"/>
      <w:lvlJc w:val="left"/>
      <w:pPr>
        <w:tabs>
          <w:tab w:val="num" w:pos="2160"/>
        </w:tabs>
        <w:ind w:left="2160" w:hanging="360"/>
      </w:pPr>
      <w:rPr>
        <w:rFonts w:ascii="Courier New" w:hAnsi="Courier New" w:hint="default"/>
      </w:rPr>
    </w:lvl>
    <w:lvl w:ilvl="3" w:tplc="479ECBCC" w:tentative="1">
      <w:start w:val="1"/>
      <w:numFmt w:val="bullet"/>
      <w:lvlText w:val="o"/>
      <w:lvlJc w:val="left"/>
      <w:pPr>
        <w:tabs>
          <w:tab w:val="num" w:pos="2880"/>
        </w:tabs>
        <w:ind w:left="2880" w:hanging="360"/>
      </w:pPr>
      <w:rPr>
        <w:rFonts w:ascii="Courier New" w:hAnsi="Courier New" w:hint="default"/>
      </w:rPr>
    </w:lvl>
    <w:lvl w:ilvl="4" w:tplc="FE62C142" w:tentative="1">
      <w:start w:val="1"/>
      <w:numFmt w:val="bullet"/>
      <w:lvlText w:val="o"/>
      <w:lvlJc w:val="left"/>
      <w:pPr>
        <w:tabs>
          <w:tab w:val="num" w:pos="3600"/>
        </w:tabs>
        <w:ind w:left="3600" w:hanging="360"/>
      </w:pPr>
      <w:rPr>
        <w:rFonts w:ascii="Courier New" w:hAnsi="Courier New" w:hint="default"/>
      </w:rPr>
    </w:lvl>
    <w:lvl w:ilvl="5" w:tplc="86EEF53C" w:tentative="1">
      <w:start w:val="1"/>
      <w:numFmt w:val="bullet"/>
      <w:lvlText w:val="o"/>
      <w:lvlJc w:val="left"/>
      <w:pPr>
        <w:tabs>
          <w:tab w:val="num" w:pos="4320"/>
        </w:tabs>
        <w:ind w:left="4320" w:hanging="360"/>
      </w:pPr>
      <w:rPr>
        <w:rFonts w:ascii="Courier New" w:hAnsi="Courier New" w:hint="default"/>
      </w:rPr>
    </w:lvl>
    <w:lvl w:ilvl="6" w:tplc="B3DC8982" w:tentative="1">
      <w:start w:val="1"/>
      <w:numFmt w:val="bullet"/>
      <w:lvlText w:val="o"/>
      <w:lvlJc w:val="left"/>
      <w:pPr>
        <w:tabs>
          <w:tab w:val="num" w:pos="5040"/>
        </w:tabs>
        <w:ind w:left="5040" w:hanging="360"/>
      </w:pPr>
      <w:rPr>
        <w:rFonts w:ascii="Courier New" w:hAnsi="Courier New" w:hint="default"/>
      </w:rPr>
    </w:lvl>
    <w:lvl w:ilvl="7" w:tplc="C7DA6EB2" w:tentative="1">
      <w:start w:val="1"/>
      <w:numFmt w:val="bullet"/>
      <w:lvlText w:val="o"/>
      <w:lvlJc w:val="left"/>
      <w:pPr>
        <w:tabs>
          <w:tab w:val="num" w:pos="5760"/>
        </w:tabs>
        <w:ind w:left="5760" w:hanging="360"/>
      </w:pPr>
      <w:rPr>
        <w:rFonts w:ascii="Courier New" w:hAnsi="Courier New" w:hint="default"/>
      </w:rPr>
    </w:lvl>
    <w:lvl w:ilvl="8" w:tplc="242E4FF6"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4D3389D"/>
    <w:multiLevelType w:val="hybridMultilevel"/>
    <w:tmpl w:val="FC643EFC"/>
    <w:lvl w:ilvl="0" w:tplc="7340DB0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B97BDA"/>
    <w:multiLevelType w:val="hybridMultilevel"/>
    <w:tmpl w:val="54F6F37A"/>
    <w:lvl w:ilvl="0" w:tplc="0EFEA242">
      <w:start w:val="1"/>
      <w:numFmt w:val="decimal"/>
      <w:lvlText w:val="%1)"/>
      <w:lvlJc w:val="left"/>
      <w:pPr>
        <w:ind w:left="720" w:hanging="360"/>
      </w:pPr>
      <w:rPr>
        <w:rFonts w:eastAsia="Times New Roman"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28046527">
    <w:abstractNumId w:val="31"/>
  </w:num>
  <w:num w:numId="2" w16cid:durableId="1822573651">
    <w:abstractNumId w:val="11"/>
  </w:num>
  <w:num w:numId="3" w16cid:durableId="1293515717">
    <w:abstractNumId w:val="8"/>
  </w:num>
  <w:num w:numId="4" w16cid:durableId="1859391698">
    <w:abstractNumId w:val="24"/>
  </w:num>
  <w:num w:numId="5" w16cid:durableId="642084593">
    <w:abstractNumId w:val="0"/>
  </w:num>
  <w:num w:numId="6" w16cid:durableId="224075879">
    <w:abstractNumId w:val="0"/>
  </w:num>
  <w:num w:numId="7" w16cid:durableId="1432315274">
    <w:abstractNumId w:val="25"/>
  </w:num>
  <w:num w:numId="8" w16cid:durableId="550461415">
    <w:abstractNumId w:val="16"/>
  </w:num>
  <w:num w:numId="9" w16cid:durableId="2113240567">
    <w:abstractNumId w:val="24"/>
  </w:num>
  <w:num w:numId="10" w16cid:durableId="319046138">
    <w:abstractNumId w:val="30"/>
  </w:num>
  <w:num w:numId="11" w16cid:durableId="989089676">
    <w:abstractNumId w:val="21"/>
  </w:num>
  <w:num w:numId="12" w16cid:durableId="3017690">
    <w:abstractNumId w:val="5"/>
  </w:num>
  <w:num w:numId="13" w16cid:durableId="1136416161">
    <w:abstractNumId w:val="10"/>
  </w:num>
  <w:num w:numId="14" w16cid:durableId="1598631832">
    <w:abstractNumId w:val="6"/>
  </w:num>
  <w:num w:numId="15" w16cid:durableId="1873760530">
    <w:abstractNumId w:val="15"/>
  </w:num>
  <w:num w:numId="16" w16cid:durableId="1043483843">
    <w:abstractNumId w:val="3"/>
  </w:num>
  <w:num w:numId="17" w16cid:durableId="2081756601">
    <w:abstractNumId w:val="23"/>
  </w:num>
  <w:num w:numId="18" w16cid:durableId="405349453">
    <w:abstractNumId w:val="1"/>
  </w:num>
  <w:num w:numId="19" w16cid:durableId="1503083248">
    <w:abstractNumId w:val="28"/>
  </w:num>
  <w:num w:numId="20" w16cid:durableId="1899658392">
    <w:abstractNumId w:val="27"/>
  </w:num>
  <w:num w:numId="21" w16cid:durableId="880744961">
    <w:abstractNumId w:val="17"/>
  </w:num>
  <w:num w:numId="22" w16cid:durableId="1932346878">
    <w:abstractNumId w:val="14"/>
  </w:num>
  <w:num w:numId="23" w16cid:durableId="1922060479">
    <w:abstractNumId w:val="19"/>
  </w:num>
  <w:num w:numId="24" w16cid:durableId="695473169">
    <w:abstractNumId w:val="32"/>
  </w:num>
  <w:num w:numId="25" w16cid:durableId="1334406846">
    <w:abstractNumId w:val="2"/>
  </w:num>
  <w:num w:numId="26" w16cid:durableId="2089959535">
    <w:abstractNumId w:val="13"/>
  </w:num>
  <w:num w:numId="27" w16cid:durableId="665208204">
    <w:abstractNumId w:val="18"/>
  </w:num>
  <w:num w:numId="28" w16cid:durableId="1713311196">
    <w:abstractNumId w:val="26"/>
  </w:num>
  <w:num w:numId="29" w16cid:durableId="68775690">
    <w:abstractNumId w:val="12"/>
  </w:num>
  <w:num w:numId="30" w16cid:durableId="1036614217">
    <w:abstractNumId w:val="20"/>
  </w:num>
  <w:num w:numId="31" w16cid:durableId="276762328">
    <w:abstractNumId w:val="29"/>
  </w:num>
  <w:num w:numId="32" w16cid:durableId="1373967297">
    <w:abstractNumId w:val="22"/>
  </w:num>
  <w:num w:numId="33" w16cid:durableId="1975990127">
    <w:abstractNumId w:val="9"/>
  </w:num>
  <w:num w:numId="34" w16cid:durableId="438528904">
    <w:abstractNumId w:val="4"/>
  </w:num>
  <w:num w:numId="35" w16cid:durableId="6399580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8F5"/>
    <w:rsid w:val="0002018A"/>
    <w:rsid w:val="0002374E"/>
    <w:rsid w:val="00023DF9"/>
    <w:rsid w:val="00023F38"/>
    <w:rsid w:val="000257FE"/>
    <w:rsid w:val="00025E24"/>
    <w:rsid w:val="00026EE4"/>
    <w:rsid w:val="00027ACD"/>
    <w:rsid w:val="00032F92"/>
    <w:rsid w:val="00034C66"/>
    <w:rsid w:val="0003685E"/>
    <w:rsid w:val="00037C6F"/>
    <w:rsid w:val="00037C84"/>
    <w:rsid w:val="00037F7A"/>
    <w:rsid w:val="000401B4"/>
    <w:rsid w:val="00040891"/>
    <w:rsid w:val="00043C56"/>
    <w:rsid w:val="00044853"/>
    <w:rsid w:val="000462AB"/>
    <w:rsid w:val="000463CF"/>
    <w:rsid w:val="00046D35"/>
    <w:rsid w:val="000517E4"/>
    <w:rsid w:val="00052534"/>
    <w:rsid w:val="000536C1"/>
    <w:rsid w:val="0005434C"/>
    <w:rsid w:val="00054537"/>
    <w:rsid w:val="000549F7"/>
    <w:rsid w:val="00065E19"/>
    <w:rsid w:val="00066ACC"/>
    <w:rsid w:val="0006781B"/>
    <w:rsid w:val="00071278"/>
    <w:rsid w:val="000746E2"/>
    <w:rsid w:val="000768DF"/>
    <w:rsid w:val="000770C6"/>
    <w:rsid w:val="000778B1"/>
    <w:rsid w:val="0008007A"/>
    <w:rsid w:val="00084E00"/>
    <w:rsid w:val="000912CC"/>
    <w:rsid w:val="00091528"/>
    <w:rsid w:val="00094E0C"/>
    <w:rsid w:val="00096B39"/>
    <w:rsid w:val="000A01A1"/>
    <w:rsid w:val="000A079F"/>
    <w:rsid w:val="000A3320"/>
    <w:rsid w:val="000A7241"/>
    <w:rsid w:val="000B02CB"/>
    <w:rsid w:val="000B0815"/>
    <w:rsid w:val="000B126F"/>
    <w:rsid w:val="000B2590"/>
    <w:rsid w:val="000B2839"/>
    <w:rsid w:val="000B423B"/>
    <w:rsid w:val="000B4E71"/>
    <w:rsid w:val="000B5698"/>
    <w:rsid w:val="000B7979"/>
    <w:rsid w:val="000B7E38"/>
    <w:rsid w:val="000C16FD"/>
    <w:rsid w:val="000C1CEB"/>
    <w:rsid w:val="000C2824"/>
    <w:rsid w:val="000C3A07"/>
    <w:rsid w:val="000C66F4"/>
    <w:rsid w:val="000C686C"/>
    <w:rsid w:val="000D34BB"/>
    <w:rsid w:val="000D5BC5"/>
    <w:rsid w:val="000D69AB"/>
    <w:rsid w:val="000D7976"/>
    <w:rsid w:val="000E04BC"/>
    <w:rsid w:val="000E2C2B"/>
    <w:rsid w:val="000E4537"/>
    <w:rsid w:val="000E4E9C"/>
    <w:rsid w:val="000E502C"/>
    <w:rsid w:val="000E7C3D"/>
    <w:rsid w:val="000F02CA"/>
    <w:rsid w:val="000F057A"/>
    <w:rsid w:val="000F0F99"/>
    <w:rsid w:val="000F2A63"/>
    <w:rsid w:val="000F52F1"/>
    <w:rsid w:val="00101428"/>
    <w:rsid w:val="0010261C"/>
    <w:rsid w:val="0011068A"/>
    <w:rsid w:val="001123B7"/>
    <w:rsid w:val="00114B5E"/>
    <w:rsid w:val="001152DB"/>
    <w:rsid w:val="001157D4"/>
    <w:rsid w:val="00116140"/>
    <w:rsid w:val="00121A61"/>
    <w:rsid w:val="00121AA8"/>
    <w:rsid w:val="001229EA"/>
    <w:rsid w:val="00122B31"/>
    <w:rsid w:val="00122FB9"/>
    <w:rsid w:val="00124048"/>
    <w:rsid w:val="00127A40"/>
    <w:rsid w:val="00127CBE"/>
    <w:rsid w:val="00127F11"/>
    <w:rsid w:val="00131547"/>
    <w:rsid w:val="001315D4"/>
    <w:rsid w:val="00133740"/>
    <w:rsid w:val="00135911"/>
    <w:rsid w:val="001379CF"/>
    <w:rsid w:val="00143627"/>
    <w:rsid w:val="00144DBC"/>
    <w:rsid w:val="00144DBF"/>
    <w:rsid w:val="00144FE3"/>
    <w:rsid w:val="00145B33"/>
    <w:rsid w:val="001465E4"/>
    <w:rsid w:val="00152D09"/>
    <w:rsid w:val="001545F4"/>
    <w:rsid w:val="00154C94"/>
    <w:rsid w:val="00155174"/>
    <w:rsid w:val="0015737B"/>
    <w:rsid w:val="001577E8"/>
    <w:rsid w:val="00157C4F"/>
    <w:rsid w:val="00160038"/>
    <w:rsid w:val="001658C9"/>
    <w:rsid w:val="00167978"/>
    <w:rsid w:val="00171C3F"/>
    <w:rsid w:val="00172C95"/>
    <w:rsid w:val="00173756"/>
    <w:rsid w:val="00173DF4"/>
    <w:rsid w:val="0017474C"/>
    <w:rsid w:val="00176101"/>
    <w:rsid w:val="001818A5"/>
    <w:rsid w:val="00182416"/>
    <w:rsid w:val="00183A09"/>
    <w:rsid w:val="00184048"/>
    <w:rsid w:val="001859DA"/>
    <w:rsid w:val="00186469"/>
    <w:rsid w:val="00186931"/>
    <w:rsid w:val="00186A83"/>
    <w:rsid w:val="00186D36"/>
    <w:rsid w:val="00190637"/>
    <w:rsid w:val="00191087"/>
    <w:rsid w:val="0019388B"/>
    <w:rsid w:val="0019667B"/>
    <w:rsid w:val="00196E33"/>
    <w:rsid w:val="00197B9A"/>
    <w:rsid w:val="001A074E"/>
    <w:rsid w:val="001A12FE"/>
    <w:rsid w:val="001A1EE3"/>
    <w:rsid w:val="001A3197"/>
    <w:rsid w:val="001A4B92"/>
    <w:rsid w:val="001B35CF"/>
    <w:rsid w:val="001B56B4"/>
    <w:rsid w:val="001B7267"/>
    <w:rsid w:val="001C09B3"/>
    <w:rsid w:val="001C0B81"/>
    <w:rsid w:val="001C1B2E"/>
    <w:rsid w:val="001C2F46"/>
    <w:rsid w:val="001C6C22"/>
    <w:rsid w:val="001C7317"/>
    <w:rsid w:val="001C78C6"/>
    <w:rsid w:val="001C7C26"/>
    <w:rsid w:val="001D4480"/>
    <w:rsid w:val="001D55C2"/>
    <w:rsid w:val="001D7716"/>
    <w:rsid w:val="001D7D4B"/>
    <w:rsid w:val="001E1CAD"/>
    <w:rsid w:val="001E5949"/>
    <w:rsid w:val="001E6B10"/>
    <w:rsid w:val="001F34C0"/>
    <w:rsid w:val="001F5EAA"/>
    <w:rsid w:val="00201FC1"/>
    <w:rsid w:val="0020218F"/>
    <w:rsid w:val="00203372"/>
    <w:rsid w:val="00204C01"/>
    <w:rsid w:val="0020781F"/>
    <w:rsid w:val="00210486"/>
    <w:rsid w:val="002115B7"/>
    <w:rsid w:val="002131B5"/>
    <w:rsid w:val="00213E57"/>
    <w:rsid w:val="002213BD"/>
    <w:rsid w:val="002221CD"/>
    <w:rsid w:val="00224762"/>
    <w:rsid w:val="00225E1B"/>
    <w:rsid w:val="00226627"/>
    <w:rsid w:val="00227ACE"/>
    <w:rsid w:val="00231965"/>
    <w:rsid w:val="00232DAE"/>
    <w:rsid w:val="00233550"/>
    <w:rsid w:val="00233560"/>
    <w:rsid w:val="002342BF"/>
    <w:rsid w:val="00236313"/>
    <w:rsid w:val="00236EC5"/>
    <w:rsid w:val="00237F46"/>
    <w:rsid w:val="00240EAC"/>
    <w:rsid w:val="00241AAA"/>
    <w:rsid w:val="0024222F"/>
    <w:rsid w:val="00243468"/>
    <w:rsid w:val="0024389F"/>
    <w:rsid w:val="00244B34"/>
    <w:rsid w:val="00244BE7"/>
    <w:rsid w:val="00245432"/>
    <w:rsid w:val="00246401"/>
    <w:rsid w:val="00246E4A"/>
    <w:rsid w:val="002479FA"/>
    <w:rsid w:val="00252264"/>
    <w:rsid w:val="00252505"/>
    <w:rsid w:val="00252A93"/>
    <w:rsid w:val="00252FED"/>
    <w:rsid w:val="002541B0"/>
    <w:rsid w:val="0025604F"/>
    <w:rsid w:val="00257082"/>
    <w:rsid w:val="002614E5"/>
    <w:rsid w:val="0026269B"/>
    <w:rsid w:val="00263ED9"/>
    <w:rsid w:val="002646FB"/>
    <w:rsid w:val="002715AB"/>
    <w:rsid w:val="0027350B"/>
    <w:rsid w:val="002735BB"/>
    <w:rsid w:val="00273DA6"/>
    <w:rsid w:val="00275847"/>
    <w:rsid w:val="00277F60"/>
    <w:rsid w:val="002823B3"/>
    <w:rsid w:val="00283438"/>
    <w:rsid w:val="002847FF"/>
    <w:rsid w:val="00284AB7"/>
    <w:rsid w:val="0028512B"/>
    <w:rsid w:val="00285A68"/>
    <w:rsid w:val="002861D6"/>
    <w:rsid w:val="00286AEC"/>
    <w:rsid w:val="00286C57"/>
    <w:rsid w:val="002876D4"/>
    <w:rsid w:val="00290A8D"/>
    <w:rsid w:val="00290D3D"/>
    <w:rsid w:val="00293467"/>
    <w:rsid w:val="00295EB6"/>
    <w:rsid w:val="0029699C"/>
    <w:rsid w:val="002A1775"/>
    <w:rsid w:val="002A1CF9"/>
    <w:rsid w:val="002A21E5"/>
    <w:rsid w:val="002A552E"/>
    <w:rsid w:val="002A602E"/>
    <w:rsid w:val="002B1870"/>
    <w:rsid w:val="002B4ABB"/>
    <w:rsid w:val="002B627A"/>
    <w:rsid w:val="002B644C"/>
    <w:rsid w:val="002B717C"/>
    <w:rsid w:val="002C1BC0"/>
    <w:rsid w:val="002C3012"/>
    <w:rsid w:val="002C3BED"/>
    <w:rsid w:val="002C48AF"/>
    <w:rsid w:val="002C4DCF"/>
    <w:rsid w:val="002D0E31"/>
    <w:rsid w:val="002D2783"/>
    <w:rsid w:val="002D53D0"/>
    <w:rsid w:val="002D55EE"/>
    <w:rsid w:val="002D5B0B"/>
    <w:rsid w:val="002D7553"/>
    <w:rsid w:val="002D7D5D"/>
    <w:rsid w:val="002E0048"/>
    <w:rsid w:val="002E1978"/>
    <w:rsid w:val="002E3BFD"/>
    <w:rsid w:val="002F0ABF"/>
    <w:rsid w:val="002F3C3E"/>
    <w:rsid w:val="002F42FF"/>
    <w:rsid w:val="002F4672"/>
    <w:rsid w:val="002F4D26"/>
    <w:rsid w:val="002F7FE1"/>
    <w:rsid w:val="0030072A"/>
    <w:rsid w:val="00301CD4"/>
    <w:rsid w:val="0030215B"/>
    <w:rsid w:val="003030AF"/>
    <w:rsid w:val="003045E4"/>
    <w:rsid w:val="003046A5"/>
    <w:rsid w:val="0030478A"/>
    <w:rsid w:val="00304A1C"/>
    <w:rsid w:val="00305C14"/>
    <w:rsid w:val="00311919"/>
    <w:rsid w:val="00312181"/>
    <w:rsid w:val="00314BBE"/>
    <w:rsid w:val="0031580A"/>
    <w:rsid w:val="00317306"/>
    <w:rsid w:val="0032326C"/>
    <w:rsid w:val="003242EF"/>
    <w:rsid w:val="003264A8"/>
    <w:rsid w:val="00326E47"/>
    <w:rsid w:val="00326E5E"/>
    <w:rsid w:val="003272DC"/>
    <w:rsid w:val="00330825"/>
    <w:rsid w:val="003321FF"/>
    <w:rsid w:val="003348AD"/>
    <w:rsid w:val="003349E9"/>
    <w:rsid w:val="00340B62"/>
    <w:rsid w:val="00340CC3"/>
    <w:rsid w:val="00340F1E"/>
    <w:rsid w:val="003434BE"/>
    <w:rsid w:val="00343BA2"/>
    <w:rsid w:val="00351FA8"/>
    <w:rsid w:val="00352217"/>
    <w:rsid w:val="00352232"/>
    <w:rsid w:val="003534E4"/>
    <w:rsid w:val="003562DD"/>
    <w:rsid w:val="00357BA9"/>
    <w:rsid w:val="00360542"/>
    <w:rsid w:val="003616EE"/>
    <w:rsid w:val="003660A4"/>
    <w:rsid w:val="00366302"/>
    <w:rsid w:val="003670EC"/>
    <w:rsid w:val="00373E7B"/>
    <w:rsid w:val="00377064"/>
    <w:rsid w:val="0037776C"/>
    <w:rsid w:val="00377A6E"/>
    <w:rsid w:val="003842A0"/>
    <w:rsid w:val="0038603C"/>
    <w:rsid w:val="00386178"/>
    <w:rsid w:val="00387CC3"/>
    <w:rsid w:val="00387E49"/>
    <w:rsid w:val="00387EF6"/>
    <w:rsid w:val="00392CCB"/>
    <w:rsid w:val="00392F7C"/>
    <w:rsid w:val="003937BA"/>
    <w:rsid w:val="0039482C"/>
    <w:rsid w:val="0039544C"/>
    <w:rsid w:val="0039572F"/>
    <w:rsid w:val="0039763A"/>
    <w:rsid w:val="003A253C"/>
    <w:rsid w:val="003A74F2"/>
    <w:rsid w:val="003A768F"/>
    <w:rsid w:val="003B0E81"/>
    <w:rsid w:val="003B1ACA"/>
    <w:rsid w:val="003B36F8"/>
    <w:rsid w:val="003B3C9E"/>
    <w:rsid w:val="003B47CA"/>
    <w:rsid w:val="003B47E5"/>
    <w:rsid w:val="003B5F3F"/>
    <w:rsid w:val="003B611F"/>
    <w:rsid w:val="003B7D65"/>
    <w:rsid w:val="003C1231"/>
    <w:rsid w:val="003C14E7"/>
    <w:rsid w:val="003C177B"/>
    <w:rsid w:val="003C1FB8"/>
    <w:rsid w:val="003C26B1"/>
    <w:rsid w:val="003C29F8"/>
    <w:rsid w:val="003C2F91"/>
    <w:rsid w:val="003C3095"/>
    <w:rsid w:val="003C5610"/>
    <w:rsid w:val="003C598A"/>
    <w:rsid w:val="003C69F1"/>
    <w:rsid w:val="003D0123"/>
    <w:rsid w:val="003D0DB2"/>
    <w:rsid w:val="003D11F4"/>
    <w:rsid w:val="003D2B95"/>
    <w:rsid w:val="003D368B"/>
    <w:rsid w:val="003D36F6"/>
    <w:rsid w:val="003D4786"/>
    <w:rsid w:val="003D4EC1"/>
    <w:rsid w:val="003D5970"/>
    <w:rsid w:val="003D5E8E"/>
    <w:rsid w:val="003D68E5"/>
    <w:rsid w:val="003E2443"/>
    <w:rsid w:val="003E26D7"/>
    <w:rsid w:val="003E2DC1"/>
    <w:rsid w:val="003E319B"/>
    <w:rsid w:val="003E64D5"/>
    <w:rsid w:val="003F3F26"/>
    <w:rsid w:val="003F50DD"/>
    <w:rsid w:val="003F649E"/>
    <w:rsid w:val="004133CB"/>
    <w:rsid w:val="00414A12"/>
    <w:rsid w:val="00414DCA"/>
    <w:rsid w:val="00416E03"/>
    <w:rsid w:val="00423EAC"/>
    <w:rsid w:val="004248D8"/>
    <w:rsid w:val="00424B1B"/>
    <w:rsid w:val="00424EB8"/>
    <w:rsid w:val="004257E9"/>
    <w:rsid w:val="004257F8"/>
    <w:rsid w:val="004258D5"/>
    <w:rsid w:val="00425F2B"/>
    <w:rsid w:val="0043083C"/>
    <w:rsid w:val="004316C0"/>
    <w:rsid w:val="004325FC"/>
    <w:rsid w:val="004406A6"/>
    <w:rsid w:val="004413AE"/>
    <w:rsid w:val="004425B2"/>
    <w:rsid w:val="00442C71"/>
    <w:rsid w:val="0044437C"/>
    <w:rsid w:val="0044580A"/>
    <w:rsid w:val="004469A8"/>
    <w:rsid w:val="00450DC2"/>
    <w:rsid w:val="004546F2"/>
    <w:rsid w:val="004600D2"/>
    <w:rsid w:val="00460AE8"/>
    <w:rsid w:val="00460C06"/>
    <w:rsid w:val="00465087"/>
    <w:rsid w:val="004656F4"/>
    <w:rsid w:val="0047014F"/>
    <w:rsid w:val="004706F5"/>
    <w:rsid w:val="0047114C"/>
    <w:rsid w:val="004714EA"/>
    <w:rsid w:val="00475AD0"/>
    <w:rsid w:val="00475CBA"/>
    <w:rsid w:val="0047700E"/>
    <w:rsid w:val="00480640"/>
    <w:rsid w:val="00481280"/>
    <w:rsid w:val="00481814"/>
    <w:rsid w:val="00482590"/>
    <w:rsid w:val="00482CCC"/>
    <w:rsid w:val="00483B96"/>
    <w:rsid w:val="00486FBF"/>
    <w:rsid w:val="004900BE"/>
    <w:rsid w:val="00491D1B"/>
    <w:rsid w:val="00491F2B"/>
    <w:rsid w:val="00492C9D"/>
    <w:rsid w:val="004947BB"/>
    <w:rsid w:val="004A25F0"/>
    <w:rsid w:val="004A5C55"/>
    <w:rsid w:val="004A62C4"/>
    <w:rsid w:val="004A69D0"/>
    <w:rsid w:val="004B1631"/>
    <w:rsid w:val="004B4091"/>
    <w:rsid w:val="004B446F"/>
    <w:rsid w:val="004B68A7"/>
    <w:rsid w:val="004C4C66"/>
    <w:rsid w:val="004C54F7"/>
    <w:rsid w:val="004D062D"/>
    <w:rsid w:val="004D20F7"/>
    <w:rsid w:val="004D2E3F"/>
    <w:rsid w:val="004D7879"/>
    <w:rsid w:val="004E4568"/>
    <w:rsid w:val="004E4EF0"/>
    <w:rsid w:val="004E668C"/>
    <w:rsid w:val="004F0A44"/>
    <w:rsid w:val="004F2AB4"/>
    <w:rsid w:val="004F3C96"/>
    <w:rsid w:val="004F4154"/>
    <w:rsid w:val="004F6FE6"/>
    <w:rsid w:val="004F7576"/>
    <w:rsid w:val="005004EB"/>
    <w:rsid w:val="005025FA"/>
    <w:rsid w:val="00506008"/>
    <w:rsid w:val="00506A7D"/>
    <w:rsid w:val="00523801"/>
    <w:rsid w:val="00523A75"/>
    <w:rsid w:val="0052419F"/>
    <w:rsid w:val="005259BC"/>
    <w:rsid w:val="00531C61"/>
    <w:rsid w:val="00532805"/>
    <w:rsid w:val="00532948"/>
    <w:rsid w:val="00534F80"/>
    <w:rsid w:val="005362B4"/>
    <w:rsid w:val="0053751B"/>
    <w:rsid w:val="0054395A"/>
    <w:rsid w:val="00543A51"/>
    <w:rsid w:val="00544A1F"/>
    <w:rsid w:val="00544D11"/>
    <w:rsid w:val="00546FCE"/>
    <w:rsid w:val="00547611"/>
    <w:rsid w:val="005501D9"/>
    <w:rsid w:val="00551638"/>
    <w:rsid w:val="00554B52"/>
    <w:rsid w:val="00555474"/>
    <w:rsid w:val="005606AE"/>
    <w:rsid w:val="00562223"/>
    <w:rsid w:val="00562635"/>
    <w:rsid w:val="00565CB6"/>
    <w:rsid w:val="00570A68"/>
    <w:rsid w:val="00572BDA"/>
    <w:rsid w:val="005736CD"/>
    <w:rsid w:val="00574590"/>
    <w:rsid w:val="005801CD"/>
    <w:rsid w:val="005807CB"/>
    <w:rsid w:val="00582DD2"/>
    <w:rsid w:val="00583FAC"/>
    <w:rsid w:val="0058503E"/>
    <w:rsid w:val="00586589"/>
    <w:rsid w:val="00586C80"/>
    <w:rsid w:val="00592319"/>
    <w:rsid w:val="005924EE"/>
    <w:rsid w:val="005938EF"/>
    <w:rsid w:val="005949BF"/>
    <w:rsid w:val="0059517D"/>
    <w:rsid w:val="005959F0"/>
    <w:rsid w:val="00596F34"/>
    <w:rsid w:val="00597B51"/>
    <w:rsid w:val="005A1322"/>
    <w:rsid w:val="005A2EEB"/>
    <w:rsid w:val="005A390D"/>
    <w:rsid w:val="005A63F0"/>
    <w:rsid w:val="005A7E53"/>
    <w:rsid w:val="005B0F7F"/>
    <w:rsid w:val="005B2B9D"/>
    <w:rsid w:val="005B2CC8"/>
    <w:rsid w:val="005B2D25"/>
    <w:rsid w:val="005B3AB4"/>
    <w:rsid w:val="005C0406"/>
    <w:rsid w:val="005C095A"/>
    <w:rsid w:val="005C26A3"/>
    <w:rsid w:val="005C2774"/>
    <w:rsid w:val="005C31C1"/>
    <w:rsid w:val="005D01A9"/>
    <w:rsid w:val="005D4ECB"/>
    <w:rsid w:val="005D5E68"/>
    <w:rsid w:val="005D7660"/>
    <w:rsid w:val="005D7A98"/>
    <w:rsid w:val="005E10B7"/>
    <w:rsid w:val="005E37E0"/>
    <w:rsid w:val="005E3C34"/>
    <w:rsid w:val="005E4AED"/>
    <w:rsid w:val="005E53A3"/>
    <w:rsid w:val="005E5482"/>
    <w:rsid w:val="005E6168"/>
    <w:rsid w:val="005E7166"/>
    <w:rsid w:val="005E7480"/>
    <w:rsid w:val="005E7BF1"/>
    <w:rsid w:val="005F0D19"/>
    <w:rsid w:val="005F0E39"/>
    <w:rsid w:val="005F1BAA"/>
    <w:rsid w:val="005F57EA"/>
    <w:rsid w:val="005F583F"/>
    <w:rsid w:val="0060248C"/>
    <w:rsid w:val="00602B33"/>
    <w:rsid w:val="0060341F"/>
    <w:rsid w:val="00610B8A"/>
    <w:rsid w:val="0061200D"/>
    <w:rsid w:val="006136F6"/>
    <w:rsid w:val="00614192"/>
    <w:rsid w:val="006223D4"/>
    <w:rsid w:val="00622771"/>
    <w:rsid w:val="00624809"/>
    <w:rsid w:val="00624843"/>
    <w:rsid w:val="00624AAE"/>
    <w:rsid w:val="0062660E"/>
    <w:rsid w:val="00627E9D"/>
    <w:rsid w:val="00630087"/>
    <w:rsid w:val="00631AEF"/>
    <w:rsid w:val="00636A7A"/>
    <w:rsid w:val="00636DDA"/>
    <w:rsid w:val="0063791B"/>
    <w:rsid w:val="006427AB"/>
    <w:rsid w:val="006429FA"/>
    <w:rsid w:val="006452C4"/>
    <w:rsid w:val="00646392"/>
    <w:rsid w:val="0064705B"/>
    <w:rsid w:val="00651E3E"/>
    <w:rsid w:val="0065483E"/>
    <w:rsid w:val="00656896"/>
    <w:rsid w:val="00656E33"/>
    <w:rsid w:val="00657B34"/>
    <w:rsid w:val="00660FF4"/>
    <w:rsid w:val="0066127D"/>
    <w:rsid w:val="00662657"/>
    <w:rsid w:val="0066317E"/>
    <w:rsid w:val="00663B56"/>
    <w:rsid w:val="00664BCE"/>
    <w:rsid w:val="006655A7"/>
    <w:rsid w:val="00672460"/>
    <w:rsid w:val="00673D10"/>
    <w:rsid w:val="00674AD0"/>
    <w:rsid w:val="00674E02"/>
    <w:rsid w:val="00675152"/>
    <w:rsid w:val="00681100"/>
    <w:rsid w:val="006821C5"/>
    <w:rsid w:val="006823D8"/>
    <w:rsid w:val="00682694"/>
    <w:rsid w:val="00682B26"/>
    <w:rsid w:val="00684EAA"/>
    <w:rsid w:val="00685D40"/>
    <w:rsid w:val="00691D6D"/>
    <w:rsid w:val="00692486"/>
    <w:rsid w:val="00695125"/>
    <w:rsid w:val="00697C83"/>
    <w:rsid w:val="006A0981"/>
    <w:rsid w:val="006A259B"/>
    <w:rsid w:val="006A34AB"/>
    <w:rsid w:val="006A4E54"/>
    <w:rsid w:val="006A6BF0"/>
    <w:rsid w:val="006B0746"/>
    <w:rsid w:val="006B428E"/>
    <w:rsid w:val="006B44DF"/>
    <w:rsid w:val="006B56C0"/>
    <w:rsid w:val="006B5DEA"/>
    <w:rsid w:val="006B754B"/>
    <w:rsid w:val="006C1BFB"/>
    <w:rsid w:val="006C2703"/>
    <w:rsid w:val="006C4FDB"/>
    <w:rsid w:val="006C5027"/>
    <w:rsid w:val="006C530B"/>
    <w:rsid w:val="006C702B"/>
    <w:rsid w:val="006C78C1"/>
    <w:rsid w:val="006C791D"/>
    <w:rsid w:val="006D0675"/>
    <w:rsid w:val="006D1045"/>
    <w:rsid w:val="006D249D"/>
    <w:rsid w:val="006D26A4"/>
    <w:rsid w:val="006D50F0"/>
    <w:rsid w:val="006D6CB2"/>
    <w:rsid w:val="006E18F8"/>
    <w:rsid w:val="006E1CAD"/>
    <w:rsid w:val="006E2577"/>
    <w:rsid w:val="006E5FEC"/>
    <w:rsid w:val="006E72F6"/>
    <w:rsid w:val="006F06D6"/>
    <w:rsid w:val="006F3138"/>
    <w:rsid w:val="006F4167"/>
    <w:rsid w:val="006F5EC5"/>
    <w:rsid w:val="006F774F"/>
    <w:rsid w:val="00700343"/>
    <w:rsid w:val="00700785"/>
    <w:rsid w:val="00704C05"/>
    <w:rsid w:val="00706782"/>
    <w:rsid w:val="007067A9"/>
    <w:rsid w:val="007127A3"/>
    <w:rsid w:val="00712D6C"/>
    <w:rsid w:val="0071418F"/>
    <w:rsid w:val="00714A0C"/>
    <w:rsid w:val="00716EF2"/>
    <w:rsid w:val="00724C4C"/>
    <w:rsid w:val="00727C36"/>
    <w:rsid w:val="007332A6"/>
    <w:rsid w:val="0073661C"/>
    <w:rsid w:val="0073678F"/>
    <w:rsid w:val="00736D03"/>
    <w:rsid w:val="00742DB9"/>
    <w:rsid w:val="00743638"/>
    <w:rsid w:val="0074765E"/>
    <w:rsid w:val="00750367"/>
    <w:rsid w:val="0075132B"/>
    <w:rsid w:val="00751B98"/>
    <w:rsid w:val="00752B6D"/>
    <w:rsid w:val="0075402D"/>
    <w:rsid w:val="00755B8F"/>
    <w:rsid w:val="007576E4"/>
    <w:rsid w:val="00760697"/>
    <w:rsid w:val="00760AD7"/>
    <w:rsid w:val="0076212D"/>
    <w:rsid w:val="00764013"/>
    <w:rsid w:val="00764C4B"/>
    <w:rsid w:val="007654C9"/>
    <w:rsid w:val="0076610E"/>
    <w:rsid w:val="00771F81"/>
    <w:rsid w:val="007749A1"/>
    <w:rsid w:val="00775EE0"/>
    <w:rsid w:val="007767B5"/>
    <w:rsid w:val="007810DD"/>
    <w:rsid w:val="007860F8"/>
    <w:rsid w:val="00786685"/>
    <w:rsid w:val="00786CFC"/>
    <w:rsid w:val="007872D1"/>
    <w:rsid w:val="00792FC8"/>
    <w:rsid w:val="00795231"/>
    <w:rsid w:val="00795B75"/>
    <w:rsid w:val="00795C42"/>
    <w:rsid w:val="007971E0"/>
    <w:rsid w:val="007976B7"/>
    <w:rsid w:val="0079794B"/>
    <w:rsid w:val="00797C88"/>
    <w:rsid w:val="007A0AC2"/>
    <w:rsid w:val="007A2FDF"/>
    <w:rsid w:val="007A3F3A"/>
    <w:rsid w:val="007A42FA"/>
    <w:rsid w:val="007A703A"/>
    <w:rsid w:val="007B009A"/>
    <w:rsid w:val="007B10E7"/>
    <w:rsid w:val="007B2CBF"/>
    <w:rsid w:val="007B3397"/>
    <w:rsid w:val="007B45F6"/>
    <w:rsid w:val="007B595E"/>
    <w:rsid w:val="007B5D0C"/>
    <w:rsid w:val="007B78C7"/>
    <w:rsid w:val="007C29C4"/>
    <w:rsid w:val="007C29C5"/>
    <w:rsid w:val="007C31A5"/>
    <w:rsid w:val="007C3CC5"/>
    <w:rsid w:val="007C5187"/>
    <w:rsid w:val="007C571F"/>
    <w:rsid w:val="007C633D"/>
    <w:rsid w:val="007C6936"/>
    <w:rsid w:val="007D070F"/>
    <w:rsid w:val="007D1123"/>
    <w:rsid w:val="007D6527"/>
    <w:rsid w:val="007E20FE"/>
    <w:rsid w:val="007E2A99"/>
    <w:rsid w:val="007E451D"/>
    <w:rsid w:val="007E5F21"/>
    <w:rsid w:val="007E6B31"/>
    <w:rsid w:val="007F17FC"/>
    <w:rsid w:val="007F3459"/>
    <w:rsid w:val="007F45BD"/>
    <w:rsid w:val="008009D7"/>
    <w:rsid w:val="00801F25"/>
    <w:rsid w:val="00804027"/>
    <w:rsid w:val="00804CA7"/>
    <w:rsid w:val="00804CD9"/>
    <w:rsid w:val="00810140"/>
    <w:rsid w:val="0081064F"/>
    <w:rsid w:val="0081079D"/>
    <w:rsid w:val="008107DE"/>
    <w:rsid w:val="00811714"/>
    <w:rsid w:val="008201F9"/>
    <w:rsid w:val="00821330"/>
    <w:rsid w:val="00822447"/>
    <w:rsid w:val="00824608"/>
    <w:rsid w:val="008276F2"/>
    <w:rsid w:val="008311C8"/>
    <w:rsid w:val="008324C5"/>
    <w:rsid w:val="00833C00"/>
    <w:rsid w:val="00842E29"/>
    <w:rsid w:val="008441C9"/>
    <w:rsid w:val="00846AF2"/>
    <w:rsid w:val="00847802"/>
    <w:rsid w:val="00847E68"/>
    <w:rsid w:val="00850395"/>
    <w:rsid w:val="0085196D"/>
    <w:rsid w:val="00852395"/>
    <w:rsid w:val="00856B00"/>
    <w:rsid w:val="008572EE"/>
    <w:rsid w:val="008576DF"/>
    <w:rsid w:val="00863D45"/>
    <w:rsid w:val="008718C0"/>
    <w:rsid w:val="008725D7"/>
    <w:rsid w:val="00873B57"/>
    <w:rsid w:val="008755F3"/>
    <w:rsid w:val="00886B68"/>
    <w:rsid w:val="00887BBC"/>
    <w:rsid w:val="00892383"/>
    <w:rsid w:val="0089680F"/>
    <w:rsid w:val="00896A21"/>
    <w:rsid w:val="00896CF1"/>
    <w:rsid w:val="008A0504"/>
    <w:rsid w:val="008A2335"/>
    <w:rsid w:val="008A4832"/>
    <w:rsid w:val="008A4E69"/>
    <w:rsid w:val="008B2D96"/>
    <w:rsid w:val="008B3CA4"/>
    <w:rsid w:val="008B469E"/>
    <w:rsid w:val="008B6393"/>
    <w:rsid w:val="008B6935"/>
    <w:rsid w:val="008B6BA4"/>
    <w:rsid w:val="008B78E4"/>
    <w:rsid w:val="008C1AC5"/>
    <w:rsid w:val="008C2551"/>
    <w:rsid w:val="008C369D"/>
    <w:rsid w:val="008C4121"/>
    <w:rsid w:val="008C4801"/>
    <w:rsid w:val="008C4945"/>
    <w:rsid w:val="008C6F64"/>
    <w:rsid w:val="008C7307"/>
    <w:rsid w:val="008C73D5"/>
    <w:rsid w:val="008D1D74"/>
    <w:rsid w:val="008D314D"/>
    <w:rsid w:val="008D5C5B"/>
    <w:rsid w:val="008D5D65"/>
    <w:rsid w:val="008D60AF"/>
    <w:rsid w:val="008D6A68"/>
    <w:rsid w:val="008E0636"/>
    <w:rsid w:val="008E15D3"/>
    <w:rsid w:val="008E2969"/>
    <w:rsid w:val="008E3A00"/>
    <w:rsid w:val="008E3F2F"/>
    <w:rsid w:val="008E5E29"/>
    <w:rsid w:val="008E6000"/>
    <w:rsid w:val="008E6771"/>
    <w:rsid w:val="008E7F5C"/>
    <w:rsid w:val="008F1B40"/>
    <w:rsid w:val="008F1CA5"/>
    <w:rsid w:val="008F475E"/>
    <w:rsid w:val="008F4846"/>
    <w:rsid w:val="008F486C"/>
    <w:rsid w:val="008F5C49"/>
    <w:rsid w:val="008F650D"/>
    <w:rsid w:val="00900E9D"/>
    <w:rsid w:val="0090236D"/>
    <w:rsid w:val="00904B75"/>
    <w:rsid w:val="00906266"/>
    <w:rsid w:val="009072C2"/>
    <w:rsid w:val="0090760F"/>
    <w:rsid w:val="0090768E"/>
    <w:rsid w:val="00912D1C"/>
    <w:rsid w:val="00913B0C"/>
    <w:rsid w:val="009154EE"/>
    <w:rsid w:val="009163DF"/>
    <w:rsid w:val="009203F3"/>
    <w:rsid w:val="00920751"/>
    <w:rsid w:val="00920B33"/>
    <w:rsid w:val="009233E7"/>
    <w:rsid w:val="00923A85"/>
    <w:rsid w:val="00925B19"/>
    <w:rsid w:val="00926C43"/>
    <w:rsid w:val="009270B4"/>
    <w:rsid w:val="00930000"/>
    <w:rsid w:val="00930D22"/>
    <w:rsid w:val="00932021"/>
    <w:rsid w:val="0093396F"/>
    <w:rsid w:val="0093623F"/>
    <w:rsid w:val="00937DBB"/>
    <w:rsid w:val="00941184"/>
    <w:rsid w:val="00942B49"/>
    <w:rsid w:val="00943811"/>
    <w:rsid w:val="0094457C"/>
    <w:rsid w:val="00944EB2"/>
    <w:rsid w:val="00945ACA"/>
    <w:rsid w:val="00946AAA"/>
    <w:rsid w:val="009545C2"/>
    <w:rsid w:val="0096105D"/>
    <w:rsid w:val="0096227D"/>
    <w:rsid w:val="00966CA5"/>
    <w:rsid w:val="00967473"/>
    <w:rsid w:val="00967AE0"/>
    <w:rsid w:val="00971440"/>
    <w:rsid w:val="0097311E"/>
    <w:rsid w:val="00977436"/>
    <w:rsid w:val="00983D92"/>
    <w:rsid w:val="00986837"/>
    <w:rsid w:val="0098684D"/>
    <w:rsid w:val="00986D62"/>
    <w:rsid w:val="0098714B"/>
    <w:rsid w:val="0098743D"/>
    <w:rsid w:val="0098757A"/>
    <w:rsid w:val="00987B13"/>
    <w:rsid w:val="00991BA2"/>
    <w:rsid w:val="0099483B"/>
    <w:rsid w:val="00995011"/>
    <w:rsid w:val="009955DE"/>
    <w:rsid w:val="0099583D"/>
    <w:rsid w:val="0099611F"/>
    <w:rsid w:val="00997FA3"/>
    <w:rsid w:val="009A02D0"/>
    <w:rsid w:val="009A1D31"/>
    <w:rsid w:val="009A50D5"/>
    <w:rsid w:val="009A52B0"/>
    <w:rsid w:val="009A6C62"/>
    <w:rsid w:val="009B36DF"/>
    <w:rsid w:val="009B45DC"/>
    <w:rsid w:val="009B4DFB"/>
    <w:rsid w:val="009B528A"/>
    <w:rsid w:val="009C195C"/>
    <w:rsid w:val="009C2989"/>
    <w:rsid w:val="009C3228"/>
    <w:rsid w:val="009C73DD"/>
    <w:rsid w:val="009D1BE3"/>
    <w:rsid w:val="009D445D"/>
    <w:rsid w:val="009D6C88"/>
    <w:rsid w:val="009D6E71"/>
    <w:rsid w:val="009E2FCC"/>
    <w:rsid w:val="009F1CEC"/>
    <w:rsid w:val="009F33EE"/>
    <w:rsid w:val="009F6166"/>
    <w:rsid w:val="00A003A5"/>
    <w:rsid w:val="00A0526D"/>
    <w:rsid w:val="00A10358"/>
    <w:rsid w:val="00A16A31"/>
    <w:rsid w:val="00A20494"/>
    <w:rsid w:val="00A25167"/>
    <w:rsid w:val="00A3024B"/>
    <w:rsid w:val="00A32D79"/>
    <w:rsid w:val="00A33969"/>
    <w:rsid w:val="00A357D6"/>
    <w:rsid w:val="00A35B0F"/>
    <w:rsid w:val="00A40D4D"/>
    <w:rsid w:val="00A40F40"/>
    <w:rsid w:val="00A41051"/>
    <w:rsid w:val="00A44A14"/>
    <w:rsid w:val="00A45900"/>
    <w:rsid w:val="00A46703"/>
    <w:rsid w:val="00A473DB"/>
    <w:rsid w:val="00A51D5A"/>
    <w:rsid w:val="00A543D3"/>
    <w:rsid w:val="00A545B9"/>
    <w:rsid w:val="00A56BD9"/>
    <w:rsid w:val="00A57C34"/>
    <w:rsid w:val="00A6000C"/>
    <w:rsid w:val="00A63B2B"/>
    <w:rsid w:val="00A63DA0"/>
    <w:rsid w:val="00A65A60"/>
    <w:rsid w:val="00A65D0D"/>
    <w:rsid w:val="00A673FF"/>
    <w:rsid w:val="00A70974"/>
    <w:rsid w:val="00A7193A"/>
    <w:rsid w:val="00A72DEC"/>
    <w:rsid w:val="00A740CD"/>
    <w:rsid w:val="00A83BEE"/>
    <w:rsid w:val="00A84334"/>
    <w:rsid w:val="00A84AD3"/>
    <w:rsid w:val="00A85582"/>
    <w:rsid w:val="00A8583A"/>
    <w:rsid w:val="00A85DD8"/>
    <w:rsid w:val="00A86E69"/>
    <w:rsid w:val="00A8767E"/>
    <w:rsid w:val="00A90887"/>
    <w:rsid w:val="00A91703"/>
    <w:rsid w:val="00A94C78"/>
    <w:rsid w:val="00A950D4"/>
    <w:rsid w:val="00A9648D"/>
    <w:rsid w:val="00AA0774"/>
    <w:rsid w:val="00AA311D"/>
    <w:rsid w:val="00AA595D"/>
    <w:rsid w:val="00AB0F02"/>
    <w:rsid w:val="00AB1BD1"/>
    <w:rsid w:val="00AB3AB2"/>
    <w:rsid w:val="00AB3F45"/>
    <w:rsid w:val="00AB44FB"/>
    <w:rsid w:val="00AB5097"/>
    <w:rsid w:val="00AB67CA"/>
    <w:rsid w:val="00AB7231"/>
    <w:rsid w:val="00AC1318"/>
    <w:rsid w:val="00AC3CD2"/>
    <w:rsid w:val="00AC3F39"/>
    <w:rsid w:val="00AC6DCC"/>
    <w:rsid w:val="00AC6EBD"/>
    <w:rsid w:val="00AC7C14"/>
    <w:rsid w:val="00AD0BD3"/>
    <w:rsid w:val="00AD1088"/>
    <w:rsid w:val="00AD10A8"/>
    <w:rsid w:val="00AD1B9D"/>
    <w:rsid w:val="00AD4E59"/>
    <w:rsid w:val="00AD4FB5"/>
    <w:rsid w:val="00AE039B"/>
    <w:rsid w:val="00AE28B1"/>
    <w:rsid w:val="00AE408A"/>
    <w:rsid w:val="00AE4C9E"/>
    <w:rsid w:val="00AE4CEE"/>
    <w:rsid w:val="00AE510A"/>
    <w:rsid w:val="00AE59C7"/>
    <w:rsid w:val="00AE6160"/>
    <w:rsid w:val="00AE787E"/>
    <w:rsid w:val="00AF10EB"/>
    <w:rsid w:val="00AF2131"/>
    <w:rsid w:val="00AF2832"/>
    <w:rsid w:val="00AF3085"/>
    <w:rsid w:val="00AF5A2F"/>
    <w:rsid w:val="00AF5B84"/>
    <w:rsid w:val="00AF6EC3"/>
    <w:rsid w:val="00AF78EC"/>
    <w:rsid w:val="00B001BA"/>
    <w:rsid w:val="00B00D60"/>
    <w:rsid w:val="00B0194D"/>
    <w:rsid w:val="00B10C6C"/>
    <w:rsid w:val="00B1123C"/>
    <w:rsid w:val="00B12753"/>
    <w:rsid w:val="00B12A0A"/>
    <w:rsid w:val="00B1497C"/>
    <w:rsid w:val="00B14E1E"/>
    <w:rsid w:val="00B16728"/>
    <w:rsid w:val="00B2050B"/>
    <w:rsid w:val="00B21487"/>
    <w:rsid w:val="00B2204F"/>
    <w:rsid w:val="00B2257C"/>
    <w:rsid w:val="00B22950"/>
    <w:rsid w:val="00B24FF2"/>
    <w:rsid w:val="00B30128"/>
    <w:rsid w:val="00B33DDC"/>
    <w:rsid w:val="00B34366"/>
    <w:rsid w:val="00B35DAA"/>
    <w:rsid w:val="00B35ED4"/>
    <w:rsid w:val="00B369D5"/>
    <w:rsid w:val="00B40097"/>
    <w:rsid w:val="00B40787"/>
    <w:rsid w:val="00B4134E"/>
    <w:rsid w:val="00B42A88"/>
    <w:rsid w:val="00B42E5D"/>
    <w:rsid w:val="00B43A96"/>
    <w:rsid w:val="00B45CD6"/>
    <w:rsid w:val="00B45DEF"/>
    <w:rsid w:val="00B474EC"/>
    <w:rsid w:val="00B512D0"/>
    <w:rsid w:val="00B54D56"/>
    <w:rsid w:val="00B55D6D"/>
    <w:rsid w:val="00B57FE1"/>
    <w:rsid w:val="00B64ACB"/>
    <w:rsid w:val="00B6677A"/>
    <w:rsid w:val="00B70396"/>
    <w:rsid w:val="00B7497F"/>
    <w:rsid w:val="00B75A91"/>
    <w:rsid w:val="00B8158F"/>
    <w:rsid w:val="00B83111"/>
    <w:rsid w:val="00B83FAD"/>
    <w:rsid w:val="00B856FC"/>
    <w:rsid w:val="00B86363"/>
    <w:rsid w:val="00B87221"/>
    <w:rsid w:val="00B87BC2"/>
    <w:rsid w:val="00B90BD9"/>
    <w:rsid w:val="00B953C5"/>
    <w:rsid w:val="00B95538"/>
    <w:rsid w:val="00B95A4D"/>
    <w:rsid w:val="00B97022"/>
    <w:rsid w:val="00B973F9"/>
    <w:rsid w:val="00BA04DA"/>
    <w:rsid w:val="00BA0F96"/>
    <w:rsid w:val="00BA1B1A"/>
    <w:rsid w:val="00BA38FD"/>
    <w:rsid w:val="00BA693D"/>
    <w:rsid w:val="00BB24AA"/>
    <w:rsid w:val="00BB2CC1"/>
    <w:rsid w:val="00BB3BA7"/>
    <w:rsid w:val="00BB5CE6"/>
    <w:rsid w:val="00BB687B"/>
    <w:rsid w:val="00BC1926"/>
    <w:rsid w:val="00BC1F47"/>
    <w:rsid w:val="00BC3CD6"/>
    <w:rsid w:val="00BD44AD"/>
    <w:rsid w:val="00BD605B"/>
    <w:rsid w:val="00BE1D59"/>
    <w:rsid w:val="00BE2156"/>
    <w:rsid w:val="00BE3740"/>
    <w:rsid w:val="00BE48AD"/>
    <w:rsid w:val="00BE5222"/>
    <w:rsid w:val="00BE5FFF"/>
    <w:rsid w:val="00BE630C"/>
    <w:rsid w:val="00BF1F99"/>
    <w:rsid w:val="00BF27AD"/>
    <w:rsid w:val="00BF2958"/>
    <w:rsid w:val="00BF70FC"/>
    <w:rsid w:val="00BF77E9"/>
    <w:rsid w:val="00C0026D"/>
    <w:rsid w:val="00C02034"/>
    <w:rsid w:val="00C06E52"/>
    <w:rsid w:val="00C076A9"/>
    <w:rsid w:val="00C106A8"/>
    <w:rsid w:val="00C12F98"/>
    <w:rsid w:val="00C13BC1"/>
    <w:rsid w:val="00C16EB0"/>
    <w:rsid w:val="00C17C32"/>
    <w:rsid w:val="00C2073D"/>
    <w:rsid w:val="00C22157"/>
    <w:rsid w:val="00C22AAB"/>
    <w:rsid w:val="00C23299"/>
    <w:rsid w:val="00C2329C"/>
    <w:rsid w:val="00C23763"/>
    <w:rsid w:val="00C25F9C"/>
    <w:rsid w:val="00C26659"/>
    <w:rsid w:val="00C336AF"/>
    <w:rsid w:val="00C33B80"/>
    <w:rsid w:val="00C34287"/>
    <w:rsid w:val="00C35924"/>
    <w:rsid w:val="00C36D19"/>
    <w:rsid w:val="00C3762F"/>
    <w:rsid w:val="00C43E97"/>
    <w:rsid w:val="00C441D0"/>
    <w:rsid w:val="00C4579C"/>
    <w:rsid w:val="00C463EC"/>
    <w:rsid w:val="00C46A85"/>
    <w:rsid w:val="00C476B1"/>
    <w:rsid w:val="00C504AE"/>
    <w:rsid w:val="00C52242"/>
    <w:rsid w:val="00C55094"/>
    <w:rsid w:val="00C551CE"/>
    <w:rsid w:val="00C553E0"/>
    <w:rsid w:val="00C556B5"/>
    <w:rsid w:val="00C567CD"/>
    <w:rsid w:val="00C63EA6"/>
    <w:rsid w:val="00C6417A"/>
    <w:rsid w:val="00C64244"/>
    <w:rsid w:val="00C70C40"/>
    <w:rsid w:val="00C71748"/>
    <w:rsid w:val="00C721C3"/>
    <w:rsid w:val="00C7242C"/>
    <w:rsid w:val="00C74089"/>
    <w:rsid w:val="00C741C7"/>
    <w:rsid w:val="00C75B4B"/>
    <w:rsid w:val="00C763DC"/>
    <w:rsid w:val="00C77D03"/>
    <w:rsid w:val="00C80290"/>
    <w:rsid w:val="00C82AEC"/>
    <w:rsid w:val="00C84903"/>
    <w:rsid w:val="00C8594E"/>
    <w:rsid w:val="00C870DF"/>
    <w:rsid w:val="00C9323F"/>
    <w:rsid w:val="00C942D2"/>
    <w:rsid w:val="00C947C8"/>
    <w:rsid w:val="00C95C6C"/>
    <w:rsid w:val="00CA2A90"/>
    <w:rsid w:val="00CA4333"/>
    <w:rsid w:val="00CA59D2"/>
    <w:rsid w:val="00CB15B8"/>
    <w:rsid w:val="00CB2612"/>
    <w:rsid w:val="00CB3641"/>
    <w:rsid w:val="00CB4385"/>
    <w:rsid w:val="00CB43E4"/>
    <w:rsid w:val="00CB466E"/>
    <w:rsid w:val="00CB5BF9"/>
    <w:rsid w:val="00CB7002"/>
    <w:rsid w:val="00CB79FB"/>
    <w:rsid w:val="00CB7DEE"/>
    <w:rsid w:val="00CB7EF0"/>
    <w:rsid w:val="00CC34D6"/>
    <w:rsid w:val="00CC35C2"/>
    <w:rsid w:val="00CC4E57"/>
    <w:rsid w:val="00CC63FB"/>
    <w:rsid w:val="00CC6B20"/>
    <w:rsid w:val="00CC7E3D"/>
    <w:rsid w:val="00CD1E75"/>
    <w:rsid w:val="00CD4AF2"/>
    <w:rsid w:val="00CD5501"/>
    <w:rsid w:val="00CE0992"/>
    <w:rsid w:val="00CE1E91"/>
    <w:rsid w:val="00CE1EF1"/>
    <w:rsid w:val="00CE22E2"/>
    <w:rsid w:val="00CE31B8"/>
    <w:rsid w:val="00CE3250"/>
    <w:rsid w:val="00CE42BC"/>
    <w:rsid w:val="00CE5DCA"/>
    <w:rsid w:val="00CE69F7"/>
    <w:rsid w:val="00CE6CF2"/>
    <w:rsid w:val="00CF358C"/>
    <w:rsid w:val="00CF64D2"/>
    <w:rsid w:val="00D01493"/>
    <w:rsid w:val="00D04203"/>
    <w:rsid w:val="00D04A46"/>
    <w:rsid w:val="00D04B76"/>
    <w:rsid w:val="00D06C70"/>
    <w:rsid w:val="00D06DC3"/>
    <w:rsid w:val="00D1150F"/>
    <w:rsid w:val="00D16CA7"/>
    <w:rsid w:val="00D2055D"/>
    <w:rsid w:val="00D205BC"/>
    <w:rsid w:val="00D22733"/>
    <w:rsid w:val="00D23151"/>
    <w:rsid w:val="00D24EE7"/>
    <w:rsid w:val="00D3005F"/>
    <w:rsid w:val="00D32845"/>
    <w:rsid w:val="00D32E91"/>
    <w:rsid w:val="00D3360D"/>
    <w:rsid w:val="00D34F58"/>
    <w:rsid w:val="00D401AC"/>
    <w:rsid w:val="00D40A9D"/>
    <w:rsid w:val="00D429E2"/>
    <w:rsid w:val="00D43F00"/>
    <w:rsid w:val="00D449D5"/>
    <w:rsid w:val="00D456EA"/>
    <w:rsid w:val="00D46617"/>
    <w:rsid w:val="00D52195"/>
    <w:rsid w:val="00D5457B"/>
    <w:rsid w:val="00D55F5C"/>
    <w:rsid w:val="00D61D2E"/>
    <w:rsid w:val="00D6353B"/>
    <w:rsid w:val="00D63FE6"/>
    <w:rsid w:val="00D6703E"/>
    <w:rsid w:val="00D67AD7"/>
    <w:rsid w:val="00D70AF0"/>
    <w:rsid w:val="00D71B15"/>
    <w:rsid w:val="00D741C7"/>
    <w:rsid w:val="00D75678"/>
    <w:rsid w:val="00D808B7"/>
    <w:rsid w:val="00D80ED7"/>
    <w:rsid w:val="00D815FA"/>
    <w:rsid w:val="00D817A6"/>
    <w:rsid w:val="00D83E52"/>
    <w:rsid w:val="00D85408"/>
    <w:rsid w:val="00D8666B"/>
    <w:rsid w:val="00D86FB0"/>
    <w:rsid w:val="00D87082"/>
    <w:rsid w:val="00D92122"/>
    <w:rsid w:val="00D92E75"/>
    <w:rsid w:val="00D9310F"/>
    <w:rsid w:val="00D952E7"/>
    <w:rsid w:val="00D95558"/>
    <w:rsid w:val="00D9617D"/>
    <w:rsid w:val="00D971C5"/>
    <w:rsid w:val="00DA2326"/>
    <w:rsid w:val="00DA3F61"/>
    <w:rsid w:val="00DA62B0"/>
    <w:rsid w:val="00DB25D6"/>
    <w:rsid w:val="00DB3859"/>
    <w:rsid w:val="00DB4E16"/>
    <w:rsid w:val="00DB5E03"/>
    <w:rsid w:val="00DB6079"/>
    <w:rsid w:val="00DB6370"/>
    <w:rsid w:val="00DB66D9"/>
    <w:rsid w:val="00DB73D0"/>
    <w:rsid w:val="00DB7874"/>
    <w:rsid w:val="00DC0AF9"/>
    <w:rsid w:val="00DC1200"/>
    <w:rsid w:val="00DC486D"/>
    <w:rsid w:val="00DC6CE0"/>
    <w:rsid w:val="00DD14FF"/>
    <w:rsid w:val="00DD5008"/>
    <w:rsid w:val="00DD7CEB"/>
    <w:rsid w:val="00DE7728"/>
    <w:rsid w:val="00DF4E75"/>
    <w:rsid w:val="00DF5558"/>
    <w:rsid w:val="00DF7B4E"/>
    <w:rsid w:val="00E0081B"/>
    <w:rsid w:val="00E00D36"/>
    <w:rsid w:val="00E01A93"/>
    <w:rsid w:val="00E043E9"/>
    <w:rsid w:val="00E063D8"/>
    <w:rsid w:val="00E06B61"/>
    <w:rsid w:val="00E06F2B"/>
    <w:rsid w:val="00E07EB8"/>
    <w:rsid w:val="00E10F2F"/>
    <w:rsid w:val="00E116BE"/>
    <w:rsid w:val="00E11EC5"/>
    <w:rsid w:val="00E13071"/>
    <w:rsid w:val="00E13E6C"/>
    <w:rsid w:val="00E14191"/>
    <w:rsid w:val="00E147D6"/>
    <w:rsid w:val="00E17CC9"/>
    <w:rsid w:val="00E229AC"/>
    <w:rsid w:val="00E230A0"/>
    <w:rsid w:val="00E23939"/>
    <w:rsid w:val="00E33E89"/>
    <w:rsid w:val="00E36674"/>
    <w:rsid w:val="00E3699F"/>
    <w:rsid w:val="00E404B6"/>
    <w:rsid w:val="00E446A3"/>
    <w:rsid w:val="00E456D8"/>
    <w:rsid w:val="00E464D0"/>
    <w:rsid w:val="00E51896"/>
    <w:rsid w:val="00E52AA9"/>
    <w:rsid w:val="00E55AE9"/>
    <w:rsid w:val="00E56641"/>
    <w:rsid w:val="00E56BFD"/>
    <w:rsid w:val="00E57B33"/>
    <w:rsid w:val="00E608CF"/>
    <w:rsid w:val="00E623FC"/>
    <w:rsid w:val="00E63278"/>
    <w:rsid w:val="00E64A97"/>
    <w:rsid w:val="00E66F64"/>
    <w:rsid w:val="00E67459"/>
    <w:rsid w:val="00E711EA"/>
    <w:rsid w:val="00E74724"/>
    <w:rsid w:val="00E755BC"/>
    <w:rsid w:val="00E76444"/>
    <w:rsid w:val="00E7697F"/>
    <w:rsid w:val="00E779A8"/>
    <w:rsid w:val="00E80720"/>
    <w:rsid w:val="00E85B17"/>
    <w:rsid w:val="00E86370"/>
    <w:rsid w:val="00E86A1A"/>
    <w:rsid w:val="00E86D91"/>
    <w:rsid w:val="00E87BA9"/>
    <w:rsid w:val="00E90350"/>
    <w:rsid w:val="00E9082C"/>
    <w:rsid w:val="00E91DF3"/>
    <w:rsid w:val="00E922AB"/>
    <w:rsid w:val="00E947A9"/>
    <w:rsid w:val="00E94CE1"/>
    <w:rsid w:val="00E96043"/>
    <w:rsid w:val="00EA031B"/>
    <w:rsid w:val="00EA181C"/>
    <w:rsid w:val="00EA212A"/>
    <w:rsid w:val="00EA2BBC"/>
    <w:rsid w:val="00EA3297"/>
    <w:rsid w:val="00EA3BAC"/>
    <w:rsid w:val="00EA5314"/>
    <w:rsid w:val="00EB19B1"/>
    <w:rsid w:val="00EB2B91"/>
    <w:rsid w:val="00EB2CC4"/>
    <w:rsid w:val="00EB3EF4"/>
    <w:rsid w:val="00EB4330"/>
    <w:rsid w:val="00EB4649"/>
    <w:rsid w:val="00EB62E5"/>
    <w:rsid w:val="00EC25EB"/>
    <w:rsid w:val="00EC3404"/>
    <w:rsid w:val="00EC4862"/>
    <w:rsid w:val="00EC4DB8"/>
    <w:rsid w:val="00EC735A"/>
    <w:rsid w:val="00ED079C"/>
    <w:rsid w:val="00ED117C"/>
    <w:rsid w:val="00ED2AB1"/>
    <w:rsid w:val="00ED2ACA"/>
    <w:rsid w:val="00ED38E1"/>
    <w:rsid w:val="00ED428A"/>
    <w:rsid w:val="00ED5855"/>
    <w:rsid w:val="00ED7BF8"/>
    <w:rsid w:val="00EE12FD"/>
    <w:rsid w:val="00EE2931"/>
    <w:rsid w:val="00EE321B"/>
    <w:rsid w:val="00EE4034"/>
    <w:rsid w:val="00EE4ACD"/>
    <w:rsid w:val="00EE5AD5"/>
    <w:rsid w:val="00EE68E4"/>
    <w:rsid w:val="00EF0B14"/>
    <w:rsid w:val="00EF2AE9"/>
    <w:rsid w:val="00EF3ABC"/>
    <w:rsid w:val="00EF40CC"/>
    <w:rsid w:val="00EF57B2"/>
    <w:rsid w:val="00F00098"/>
    <w:rsid w:val="00F01141"/>
    <w:rsid w:val="00F041FC"/>
    <w:rsid w:val="00F0502C"/>
    <w:rsid w:val="00F051EC"/>
    <w:rsid w:val="00F05F69"/>
    <w:rsid w:val="00F072A0"/>
    <w:rsid w:val="00F078DF"/>
    <w:rsid w:val="00F07A8D"/>
    <w:rsid w:val="00F07E6A"/>
    <w:rsid w:val="00F103FE"/>
    <w:rsid w:val="00F12605"/>
    <w:rsid w:val="00F137D4"/>
    <w:rsid w:val="00F14DA5"/>
    <w:rsid w:val="00F20B46"/>
    <w:rsid w:val="00F20EB1"/>
    <w:rsid w:val="00F21F10"/>
    <w:rsid w:val="00F231DA"/>
    <w:rsid w:val="00F248E0"/>
    <w:rsid w:val="00F24AAC"/>
    <w:rsid w:val="00F266FC"/>
    <w:rsid w:val="00F2676F"/>
    <w:rsid w:val="00F30326"/>
    <w:rsid w:val="00F30A37"/>
    <w:rsid w:val="00F32C41"/>
    <w:rsid w:val="00F331EF"/>
    <w:rsid w:val="00F33C7C"/>
    <w:rsid w:val="00F4087D"/>
    <w:rsid w:val="00F4220A"/>
    <w:rsid w:val="00F4362C"/>
    <w:rsid w:val="00F43633"/>
    <w:rsid w:val="00F437C5"/>
    <w:rsid w:val="00F46CB4"/>
    <w:rsid w:val="00F46D43"/>
    <w:rsid w:val="00F47602"/>
    <w:rsid w:val="00F518B4"/>
    <w:rsid w:val="00F52EF5"/>
    <w:rsid w:val="00F5418E"/>
    <w:rsid w:val="00F546B2"/>
    <w:rsid w:val="00F55671"/>
    <w:rsid w:val="00F5581E"/>
    <w:rsid w:val="00F579FA"/>
    <w:rsid w:val="00F60ED0"/>
    <w:rsid w:val="00F61CC2"/>
    <w:rsid w:val="00F65E70"/>
    <w:rsid w:val="00F66FEE"/>
    <w:rsid w:val="00F67B71"/>
    <w:rsid w:val="00F72096"/>
    <w:rsid w:val="00F76F70"/>
    <w:rsid w:val="00F80227"/>
    <w:rsid w:val="00F802F6"/>
    <w:rsid w:val="00F8293D"/>
    <w:rsid w:val="00F83189"/>
    <w:rsid w:val="00F83A44"/>
    <w:rsid w:val="00F84AD9"/>
    <w:rsid w:val="00F854AA"/>
    <w:rsid w:val="00F86053"/>
    <w:rsid w:val="00F861FA"/>
    <w:rsid w:val="00F9043D"/>
    <w:rsid w:val="00F90741"/>
    <w:rsid w:val="00F930EB"/>
    <w:rsid w:val="00F96A5A"/>
    <w:rsid w:val="00F97857"/>
    <w:rsid w:val="00F97B98"/>
    <w:rsid w:val="00FA2A45"/>
    <w:rsid w:val="00FA3ABE"/>
    <w:rsid w:val="00FA5AAB"/>
    <w:rsid w:val="00FA75DC"/>
    <w:rsid w:val="00FB0B2B"/>
    <w:rsid w:val="00FB33FA"/>
    <w:rsid w:val="00FC0304"/>
    <w:rsid w:val="00FC235E"/>
    <w:rsid w:val="00FC35B4"/>
    <w:rsid w:val="00FD04F3"/>
    <w:rsid w:val="00FD5C76"/>
    <w:rsid w:val="00FE0359"/>
    <w:rsid w:val="00FE1385"/>
    <w:rsid w:val="00FE1F7F"/>
    <w:rsid w:val="00FE584D"/>
    <w:rsid w:val="00FE7E42"/>
    <w:rsid w:val="00FF27BA"/>
    <w:rsid w:val="00FF2A24"/>
    <w:rsid w:val="00FF38C0"/>
    <w:rsid w:val="00FF588E"/>
    <w:rsid w:val="00FF76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uiPriority w:val="99"/>
    <w:qFormat/>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qFormat/>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rPr>
      <w:rFonts w:ascii="Arial" w:eastAsia="MS Mincho" w:hAnsi="Arial" w:cs="Times New Roman"/>
      <w:sz w:val="20"/>
      <w:szCs w:val="24"/>
      <w:lang w:eastAsia="en-GB"/>
    </w:rPr>
  </w:style>
  <w:style w:type="character" w:styleId="CommentReference">
    <w:name w:val="annotation reference"/>
    <w:semiHidden/>
    <w:rsid w:val="00B75A91"/>
    <w:rPr>
      <w:sz w:val="16"/>
      <w:szCs w:val="16"/>
    </w:rPr>
  </w:style>
  <w:style w:type="paragraph" w:styleId="CommentText">
    <w:name w:val="annotation text"/>
    <w:basedOn w:val="Normal"/>
    <w:link w:val="CommentTextChar"/>
    <w:semiHidden/>
    <w:rsid w:val="00B75A91"/>
  </w:style>
  <w:style w:type="character" w:customStyle="1" w:styleId="CommentTextChar">
    <w:name w:val="Comment Text Char"/>
    <w:basedOn w:val="DefaultParagraphFont"/>
    <w:link w:val="CommentText"/>
    <w:semiHidden/>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qFormat/>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qFormat/>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9"/>
      </w:numPr>
    </w:pPr>
    <w:rPr>
      <w:b/>
    </w:rPr>
  </w:style>
  <w:style w:type="character" w:customStyle="1" w:styleId="EmailDiscussionChar">
    <w:name w:val="EmailDiscussion Char"/>
    <w:link w:val="EmailDiscussion"/>
    <w:rsid w:val="00B75A91"/>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uiPriority w:val="20"/>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qFormat/>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8"/>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rFonts w:ascii="Arial" w:eastAsia="MS Mincho" w:hAnsi="Arial" w:cs="Times New Roman"/>
      <w:b/>
      <w:sz w:val="20"/>
      <w:szCs w:val="24"/>
      <w:lang w:eastAsia="en-G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rsid w:val="00B75A91"/>
    <w:pPr>
      <w:keepNext/>
      <w:keepLines/>
      <w:spacing w:before="60" w:after="180"/>
      <w:jc w:val="center"/>
    </w:pPr>
    <w:rPr>
      <w:rFonts w:eastAsia="Batang"/>
      <w:b/>
      <w:color w:val="0000FF"/>
      <w:kern w:val="2"/>
      <w:lang w:val="x-none"/>
    </w:rPr>
  </w:style>
  <w:style w:type="character" w:customStyle="1" w:styleId="THChar">
    <w:name w:val="TH Char"/>
    <w:link w:val="TH"/>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10"/>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qFormat/>
    <w:rsid w:val="00BB5CE6"/>
    <w:pPr>
      <w:numPr>
        <w:numId w:val="11"/>
      </w:numPr>
    </w:pPr>
  </w:style>
  <w:style w:type="paragraph" w:customStyle="1" w:styleId="CRCoverPage">
    <w:name w:val="CR Cover Page"/>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729428576">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 w:id="1502235794">
      <w:bodyDiv w:val="1"/>
      <w:marLeft w:val="0"/>
      <w:marRight w:val="0"/>
      <w:marTop w:val="0"/>
      <w:marBottom w:val="0"/>
      <w:divBdr>
        <w:top w:val="none" w:sz="0" w:space="0" w:color="auto"/>
        <w:left w:val="none" w:sz="0" w:space="0" w:color="auto"/>
        <w:bottom w:val="none" w:sz="0" w:space="0" w:color="auto"/>
        <w:right w:val="none" w:sz="0" w:space="0" w:color="auto"/>
      </w:divBdr>
    </w:div>
    <w:div w:id="1682052732">
      <w:bodyDiv w:val="1"/>
      <w:marLeft w:val="0"/>
      <w:marRight w:val="0"/>
      <w:marTop w:val="0"/>
      <w:marBottom w:val="0"/>
      <w:divBdr>
        <w:top w:val="none" w:sz="0" w:space="0" w:color="auto"/>
        <w:left w:val="none" w:sz="0" w:space="0" w:color="auto"/>
        <w:bottom w:val="none" w:sz="0" w:space="0" w:color="auto"/>
        <w:right w:val="none" w:sz="0" w:space="0" w:color="auto"/>
      </w:divBdr>
      <w:divsChild>
        <w:div w:id="470638056">
          <w:marLeft w:val="1166"/>
          <w:marRight w:val="0"/>
          <w:marTop w:val="0"/>
          <w:marBottom w:val="0"/>
          <w:divBdr>
            <w:top w:val="none" w:sz="0" w:space="0" w:color="auto"/>
            <w:left w:val="none" w:sz="0" w:space="0" w:color="auto"/>
            <w:bottom w:val="none" w:sz="0" w:space="0" w:color="auto"/>
            <w:right w:val="none" w:sz="0" w:space="0" w:color="auto"/>
          </w:divBdr>
        </w:div>
        <w:div w:id="735129733">
          <w:marLeft w:val="1166"/>
          <w:marRight w:val="0"/>
          <w:marTop w:val="0"/>
          <w:marBottom w:val="0"/>
          <w:divBdr>
            <w:top w:val="none" w:sz="0" w:space="0" w:color="auto"/>
            <w:left w:val="none" w:sz="0" w:space="0" w:color="auto"/>
            <w:bottom w:val="none" w:sz="0" w:space="0" w:color="auto"/>
            <w:right w:val="none" w:sz="0" w:space="0" w:color="auto"/>
          </w:divBdr>
        </w:div>
        <w:div w:id="1117944586">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BBCB1-B838-4A66-84D8-8345DE84C5B1}">
  <ds:schemaRefs>
    <ds:schemaRef ds:uri="http://schemas.microsoft.com/sharepoint/v3/contenttype/forms"/>
  </ds:schemaRefs>
</ds:datastoreItem>
</file>

<file path=customXml/itemProps2.xml><?xml version="1.0" encoding="utf-8"?>
<ds:datastoreItem xmlns:ds="http://schemas.openxmlformats.org/officeDocument/2006/customXml" ds:itemID="{917C907D-8A62-43C9-B6B4-D19098A80C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2996B9-4FF7-4FA5-9F51-2F1CC9C5AD0B}">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1941</TotalTime>
  <Pages>1</Pages>
  <Words>1372</Words>
  <Characters>7827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477</cp:revision>
  <dcterms:created xsi:type="dcterms:W3CDTF">2022-02-10T15:51:00Z</dcterms:created>
  <dcterms:modified xsi:type="dcterms:W3CDTF">2023-08-10T22:51:00Z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